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0AD7DB" w14:textId="1AA4D9CD" w:rsidR="005A6AFB" w:rsidRPr="008C028B" w:rsidRDefault="005A6AFB" w:rsidP="002B67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hanging="360"/>
        <w:contextualSpacing/>
        <w:jc w:val="both"/>
        <w:rPr>
          <w:rFonts w:ascii="Times New Roman" w:hAnsi="Times New Roman"/>
          <w:b/>
          <w:bCs/>
          <w:sz w:val="24"/>
          <w:szCs w:val="24"/>
        </w:rPr>
      </w:pPr>
      <w:r w:rsidRPr="008C028B">
        <w:rPr>
          <w:rFonts w:ascii="Times New Roman" w:hAnsi="Times New Roman"/>
          <w:b/>
          <w:bCs/>
          <w:sz w:val="24"/>
          <w:szCs w:val="24"/>
        </w:rPr>
        <w:t>Lisa 1</w:t>
      </w:r>
    </w:p>
    <w:p w14:paraId="41443E53" w14:textId="77777777" w:rsidR="005A6AFB" w:rsidRPr="008C028B" w:rsidRDefault="005A6AFB" w:rsidP="002B67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hanging="360"/>
        <w:contextualSpacing/>
        <w:jc w:val="both"/>
        <w:rPr>
          <w:rFonts w:ascii="Times New Roman" w:hAnsi="Times New Roman"/>
          <w:b/>
          <w:bCs/>
          <w:sz w:val="24"/>
          <w:szCs w:val="24"/>
        </w:rPr>
      </w:pPr>
    </w:p>
    <w:p w14:paraId="4C6E72DC" w14:textId="443944C1" w:rsidR="005A6AFB" w:rsidRPr="008C028B" w:rsidRDefault="005A6AFB" w:rsidP="002B67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hanging="360"/>
        <w:contextualSpacing/>
        <w:jc w:val="both"/>
        <w:rPr>
          <w:rFonts w:ascii="Times New Roman" w:hAnsi="Times New Roman"/>
          <w:b/>
          <w:bCs/>
          <w:sz w:val="24"/>
          <w:szCs w:val="24"/>
        </w:rPr>
      </w:pPr>
    </w:p>
    <w:p w14:paraId="640F69FE" w14:textId="7B8A5C8A" w:rsidR="005A6AFB" w:rsidRDefault="005A6AFB" w:rsidP="002B67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hanging="360"/>
        <w:contextualSpacing/>
        <w:jc w:val="both"/>
        <w:rPr>
          <w:rFonts w:ascii="Times New Roman" w:hAnsi="Times New Roman"/>
          <w:b/>
          <w:bCs/>
          <w:sz w:val="24"/>
          <w:szCs w:val="24"/>
        </w:rPr>
      </w:pPr>
      <w:r w:rsidRPr="008C028B">
        <w:rPr>
          <w:rFonts w:ascii="Times New Roman" w:hAnsi="Times New Roman"/>
          <w:b/>
          <w:bCs/>
          <w:sz w:val="24"/>
          <w:szCs w:val="24"/>
        </w:rPr>
        <w:t>Ett</w:t>
      </w:r>
      <w:r w:rsidR="008C028B" w:rsidRPr="008C028B">
        <w:rPr>
          <w:rFonts w:ascii="Times New Roman" w:hAnsi="Times New Roman"/>
          <w:b/>
          <w:bCs/>
          <w:sz w:val="24"/>
          <w:szCs w:val="24"/>
        </w:rPr>
        <w:t>e</w:t>
      </w:r>
      <w:r w:rsidRPr="008C028B">
        <w:rPr>
          <w:rFonts w:ascii="Times New Roman" w:hAnsi="Times New Roman"/>
          <w:b/>
          <w:bCs/>
          <w:sz w:val="24"/>
          <w:szCs w:val="24"/>
        </w:rPr>
        <w:t>panek TAT-i punkt</w:t>
      </w:r>
      <w:r w:rsidR="003C4182">
        <w:rPr>
          <w:rFonts w:ascii="Times New Roman" w:hAnsi="Times New Roman"/>
          <w:b/>
          <w:bCs/>
          <w:sz w:val="24"/>
          <w:szCs w:val="24"/>
        </w:rPr>
        <w:t>i</w:t>
      </w:r>
      <w:r w:rsidRPr="008C028B">
        <w:rPr>
          <w:rFonts w:ascii="Times New Roman" w:hAnsi="Times New Roman"/>
          <w:b/>
          <w:bCs/>
          <w:sz w:val="24"/>
          <w:szCs w:val="24"/>
        </w:rPr>
        <w:t xml:space="preserve"> 2 </w:t>
      </w:r>
      <w:r w:rsidR="003C4182">
        <w:rPr>
          <w:rFonts w:ascii="Times New Roman" w:hAnsi="Times New Roman"/>
          <w:b/>
          <w:bCs/>
          <w:sz w:val="24"/>
          <w:szCs w:val="24"/>
        </w:rPr>
        <w:t xml:space="preserve">sõnastuse </w:t>
      </w:r>
      <w:r w:rsidRPr="008C028B">
        <w:rPr>
          <w:rFonts w:ascii="Times New Roman" w:hAnsi="Times New Roman"/>
          <w:b/>
          <w:bCs/>
          <w:sz w:val="24"/>
          <w:szCs w:val="24"/>
        </w:rPr>
        <w:t>muutmiseks</w:t>
      </w:r>
    </w:p>
    <w:p w14:paraId="3B0C9A37" w14:textId="77777777" w:rsidR="00574E1A" w:rsidRDefault="00574E1A" w:rsidP="002B67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hanging="360"/>
        <w:contextualSpacing/>
        <w:jc w:val="both"/>
        <w:rPr>
          <w:rFonts w:ascii="Times New Roman" w:hAnsi="Times New Roman"/>
          <w:b/>
          <w:bCs/>
          <w:sz w:val="24"/>
          <w:szCs w:val="24"/>
        </w:rPr>
      </w:pPr>
    </w:p>
    <w:p w14:paraId="17B04184" w14:textId="77777777" w:rsidR="00574E1A" w:rsidRDefault="00574E1A" w:rsidP="00574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sz w:val="24"/>
          <w:szCs w:val="24"/>
        </w:rPr>
      </w:pPr>
    </w:p>
    <w:p w14:paraId="67EC502C" w14:textId="060D2282" w:rsidR="005A6AFB" w:rsidRDefault="00574E1A" w:rsidP="002B67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hanging="360"/>
        <w:contextualSpacing/>
        <w:jc w:val="both"/>
      </w:pPr>
      <w:r>
        <w:rPr>
          <w:rFonts w:ascii="Times New Roman" w:hAnsi="Times New Roman"/>
          <w:sz w:val="24"/>
          <w:szCs w:val="24"/>
        </w:rPr>
        <w:t>Tulenevalt kaaskirjas esitatud muudatustest ning TAT-i elluviimise käigus selgunud täpsustustest, teeme ettepaneku sõnastada TAT-i punkt 2 tervikuna ümber järgnevalt:</w:t>
      </w:r>
    </w:p>
    <w:p w14:paraId="01302F20" w14:textId="6107D814" w:rsidR="002B6776" w:rsidRPr="002B6776" w:rsidRDefault="002B6776" w:rsidP="005A6AFB">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heme="minorHAnsi" w:hAnsi="Times New Roman"/>
          <w:b/>
          <w:bCs/>
          <w:sz w:val="24"/>
          <w:szCs w:val="24"/>
        </w:rPr>
      </w:pPr>
      <w:r w:rsidRPr="002B6776">
        <w:rPr>
          <w:rFonts w:ascii="Times New Roman" w:eastAsiaTheme="minorHAnsi" w:hAnsi="Times New Roman"/>
          <w:b/>
          <w:bCs/>
          <w:sz w:val="24"/>
          <w:szCs w:val="24"/>
        </w:rPr>
        <w:t>Toetatavad projektid ja eesmärgid</w:t>
      </w:r>
    </w:p>
    <w:p w14:paraId="308C86CA" w14:textId="77777777" w:rsidR="002B6776" w:rsidRPr="002B6776" w:rsidRDefault="002B6776" w:rsidP="002B67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contextualSpacing/>
        <w:jc w:val="both"/>
        <w:rPr>
          <w:rFonts w:ascii="Times New Roman" w:eastAsiaTheme="minorHAnsi" w:hAnsi="Times New Roman"/>
          <w:b/>
          <w:bCs/>
          <w:sz w:val="24"/>
          <w:szCs w:val="24"/>
        </w:rPr>
      </w:pPr>
    </w:p>
    <w:p w14:paraId="1A1BB4A6" w14:textId="40F178D1" w:rsidR="002B6776" w:rsidRPr="002B6776" w:rsidRDefault="002B6776" w:rsidP="002B6776">
      <w:pPr>
        <w:keepNext/>
        <w:spacing w:after="0" w:line="240" w:lineRule="auto"/>
        <w:ind w:left="567"/>
        <w:jc w:val="both"/>
        <w:outlineLvl w:val="1"/>
        <w:rPr>
          <w:rFonts w:ascii="Times New Roman" w:eastAsiaTheme="minorHAnsi" w:hAnsi="Times New Roman"/>
          <w:sz w:val="24"/>
          <w:szCs w:val="24"/>
        </w:rPr>
      </w:pPr>
      <w:r w:rsidRPr="002B6776">
        <w:rPr>
          <w:rFonts w:ascii="Times New Roman" w:eastAsiaTheme="minorHAnsi" w:hAnsi="Times New Roman"/>
          <w:color w:val="000000"/>
          <w:sz w:val="24"/>
          <w:szCs w:val="24"/>
        </w:rPr>
        <w:t>Sotsiaalhoolekandes on abi korraldamine terviklik protsess, mis algab abi vajava inimese märkamisest ja abivajaduse hindamisest.</w:t>
      </w:r>
      <w:r w:rsidRPr="002B6776">
        <w:rPr>
          <w:rFonts w:ascii="Times New Roman" w:eastAsiaTheme="minorHAnsi" w:hAnsi="Times New Roman"/>
          <w:sz w:val="24"/>
          <w:szCs w:val="24"/>
        </w:rPr>
        <w:t xml:space="preserve"> Sotsiaalkaitsesüsteemi tugevdamisel peame silmas pidama ka uussisserändajate toimetuleku ja võimalikult kiire kohanemise ning iseseisvumise toetamist. Eestis on tekkinud eelnevalt nii kohanemis- kui ka toimetulekuraskused  järgmistel sihtgruppidel: </w:t>
      </w:r>
      <w:bookmarkStart w:id="0" w:name="_Hlk136357229"/>
      <w:r w:rsidRPr="002B6776">
        <w:rPr>
          <w:rFonts w:ascii="Times New Roman" w:eastAsiaTheme="minorHAnsi" w:hAnsi="Times New Roman"/>
          <w:sz w:val="24"/>
          <w:szCs w:val="24"/>
        </w:rPr>
        <w:t>1) RVK  saaja (sh ajutise kaitse saaja); 2) RVK  saaja kolmanda riigi kodanikest pereliikmed VRKS ja VMS</w:t>
      </w:r>
      <w:r w:rsidRPr="002B6776">
        <w:rPr>
          <w:rFonts w:ascii="Times New Roman" w:eastAsiaTheme="minorHAnsi" w:hAnsi="Times New Roman"/>
          <w:sz w:val="24"/>
          <w:szCs w:val="24"/>
          <w:vertAlign w:val="superscript"/>
        </w:rPr>
        <w:footnoteReference w:id="1"/>
      </w:r>
      <w:r w:rsidRPr="002B6776">
        <w:rPr>
          <w:rFonts w:ascii="Times New Roman" w:eastAsiaTheme="minorHAnsi" w:hAnsi="Times New Roman"/>
          <w:sz w:val="24"/>
          <w:szCs w:val="24"/>
        </w:rPr>
        <w:t xml:space="preserve"> alusel</w:t>
      </w:r>
      <w:r w:rsidR="00687240">
        <w:rPr>
          <w:rFonts w:ascii="Times New Roman" w:eastAsiaTheme="minorHAnsi" w:hAnsi="Times New Roman"/>
          <w:sz w:val="24"/>
          <w:szCs w:val="24"/>
        </w:rPr>
        <w:t>.</w:t>
      </w:r>
      <w:r w:rsidRPr="002B6776">
        <w:rPr>
          <w:rFonts w:ascii="Times New Roman" w:eastAsiaTheme="minorHAnsi" w:hAnsi="Times New Roman"/>
          <w:sz w:val="24"/>
          <w:szCs w:val="24"/>
        </w:rPr>
        <w:t xml:space="preserve">  </w:t>
      </w:r>
      <w:bookmarkEnd w:id="0"/>
    </w:p>
    <w:p w14:paraId="33EE0B4D" w14:textId="77777777" w:rsidR="002B6776" w:rsidRPr="002B6776" w:rsidRDefault="002B6776" w:rsidP="002B6776">
      <w:pPr>
        <w:keepNext/>
        <w:spacing w:after="0" w:line="240" w:lineRule="auto"/>
        <w:ind w:left="567"/>
        <w:jc w:val="both"/>
        <w:outlineLvl w:val="1"/>
        <w:rPr>
          <w:rFonts w:ascii="Times New Roman" w:eastAsiaTheme="minorHAnsi" w:hAnsi="Times New Roman"/>
          <w:sz w:val="24"/>
          <w:szCs w:val="24"/>
        </w:rPr>
      </w:pPr>
    </w:p>
    <w:p w14:paraId="4E3453A3" w14:textId="77777777" w:rsidR="002B6776" w:rsidRPr="002B6776" w:rsidRDefault="002B6776" w:rsidP="002B6776">
      <w:pPr>
        <w:keepNext/>
        <w:spacing w:after="0" w:line="240" w:lineRule="auto"/>
        <w:ind w:left="567"/>
        <w:jc w:val="both"/>
        <w:outlineLvl w:val="1"/>
        <w:rPr>
          <w:rFonts w:ascii="Times New Roman" w:eastAsiaTheme="minorHAnsi" w:hAnsi="Times New Roman"/>
          <w:sz w:val="24"/>
          <w:szCs w:val="24"/>
        </w:rPr>
      </w:pPr>
      <w:bookmarkStart w:id="1" w:name="_Hlk183169777"/>
      <w:bookmarkStart w:id="2" w:name="_Hlk136355757"/>
      <w:r w:rsidRPr="002B6776">
        <w:rPr>
          <w:rFonts w:ascii="Times New Roman" w:eastAsiaTheme="minorHAnsi" w:hAnsi="Times New Roman"/>
          <w:sz w:val="24"/>
          <w:szCs w:val="24"/>
        </w:rPr>
        <w:t xml:space="preserve">TATi tegevuse eesmärgiks on tugiisikuteenuse kättesaadavuse tagamine kvalifitseeruvatele sihtgruppidele. </w:t>
      </w:r>
      <w:bookmarkEnd w:id="1"/>
      <w:bookmarkEnd w:id="2"/>
      <w:r w:rsidRPr="002B6776">
        <w:rPr>
          <w:rFonts w:ascii="Times New Roman" w:eastAsiaTheme="minorHAnsi" w:hAnsi="Times New Roman"/>
          <w:sz w:val="24"/>
          <w:szCs w:val="24"/>
        </w:rPr>
        <w:t xml:space="preserve">Teenusega toetatakse KOV haldusterritooriumile elama asuvaid ja asunud kaitse saanuid, et inimesed tuleksid toime uues elukeskkonnas ning saaksid iseseisvalt osaleda haridus-, töö- ja ühiskonnaelus. </w:t>
      </w:r>
    </w:p>
    <w:p w14:paraId="4879816C" w14:textId="77777777" w:rsidR="002B6776" w:rsidRPr="002B6776" w:rsidRDefault="002B6776" w:rsidP="002B6776">
      <w:pPr>
        <w:keepNext/>
        <w:spacing w:after="0" w:line="240" w:lineRule="auto"/>
        <w:jc w:val="both"/>
        <w:outlineLvl w:val="1"/>
        <w:rPr>
          <w:rFonts w:ascii="Times New Roman" w:eastAsiaTheme="minorHAnsi" w:hAnsi="Times New Roman"/>
          <w:color w:val="000000"/>
          <w:sz w:val="24"/>
          <w:szCs w:val="24"/>
        </w:rPr>
      </w:pPr>
    </w:p>
    <w:p w14:paraId="7866EF49" w14:textId="2C4EACAB" w:rsidR="002B6776" w:rsidRPr="002B6776" w:rsidRDefault="002B6776" w:rsidP="002B67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Pr>
          <w:rFonts w:ascii="Times New Roman" w:eastAsiaTheme="minorHAnsi" w:hAnsi="Times New Roman"/>
          <w:sz w:val="24"/>
          <w:szCs w:val="24"/>
        </w:rPr>
      </w:pPr>
      <w:r w:rsidRPr="002B6776">
        <w:rPr>
          <w:rFonts w:ascii="Times New Roman" w:eastAsiaTheme="minorHAnsi" w:hAnsi="Times New Roman"/>
          <w:sz w:val="24"/>
          <w:szCs w:val="24"/>
        </w:rPr>
        <w:t>TAT</w:t>
      </w:r>
      <w:r w:rsidR="00687240">
        <w:rPr>
          <w:rFonts w:ascii="Times New Roman" w:eastAsiaTheme="minorHAnsi" w:hAnsi="Times New Roman"/>
          <w:sz w:val="24"/>
          <w:szCs w:val="24"/>
        </w:rPr>
        <w:t>i</w:t>
      </w:r>
      <w:r w:rsidRPr="002B6776">
        <w:rPr>
          <w:rFonts w:ascii="Times New Roman" w:eastAsiaTheme="minorHAnsi" w:hAnsi="Times New Roman"/>
          <w:sz w:val="24"/>
          <w:szCs w:val="24"/>
        </w:rPr>
        <w:t xml:space="preserve"> eesmärgid saavutatakse alljärgnevate toetatavate tegevuste elluviimise tulemusel, mille mõju ja ulatus on üleriigiline. Meetmest toetatakse projekte, mis: </w:t>
      </w:r>
    </w:p>
    <w:p w14:paraId="1FF6C8AB" w14:textId="77777777" w:rsidR="002B6776" w:rsidRPr="002B6776" w:rsidRDefault="002B6776" w:rsidP="002B6776">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851" w:hanging="284"/>
        <w:contextualSpacing/>
        <w:rPr>
          <w:rFonts w:ascii="Times New Roman" w:eastAsiaTheme="minorHAnsi" w:hAnsi="Times New Roman"/>
          <w:sz w:val="24"/>
          <w:szCs w:val="24"/>
        </w:rPr>
      </w:pPr>
      <w:r w:rsidRPr="002B6776">
        <w:rPr>
          <w:rFonts w:ascii="Times New Roman" w:eastAsiaTheme="minorHAnsi" w:hAnsi="Times New Roman"/>
          <w:sz w:val="24"/>
          <w:szCs w:val="24"/>
        </w:rPr>
        <w:t>aitavad kaasa AMIFi poliitikaeesmärgi ning erieesmärgi nr 1 täitmisele;</w:t>
      </w:r>
    </w:p>
    <w:p w14:paraId="597D196B" w14:textId="4AD08114" w:rsidR="002B6776" w:rsidRPr="002B6776" w:rsidRDefault="002B6776" w:rsidP="002B6776">
      <w:pPr>
        <w:numPr>
          <w:ilvl w:val="0"/>
          <w:numId w:val="2"/>
        </w:num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851" w:hanging="284"/>
        <w:contextualSpacing/>
        <w:jc w:val="both"/>
        <w:rPr>
          <w:rFonts w:ascii="Times New Roman" w:eastAsiaTheme="minorHAnsi" w:hAnsi="Times New Roman"/>
          <w:sz w:val="24"/>
          <w:szCs w:val="24"/>
        </w:rPr>
      </w:pPr>
      <w:r w:rsidRPr="002B6776">
        <w:rPr>
          <w:rFonts w:ascii="Times New Roman" w:eastAsiaTheme="minorHAnsi" w:hAnsi="Times New Roman"/>
          <w:sz w:val="24"/>
          <w:szCs w:val="24"/>
        </w:rPr>
        <w:t>on kooskõlas siseturvalisuspoliitika fondide seirekomitee kinnitatud üldiste valikukriteeriumidega, sh on mittediskrimineerivad ja läbipaistvad, arvestades Euroopa Parlamendi ja nõukogu määruse (EL) 2021/1060</w:t>
      </w:r>
      <w:r w:rsidRPr="002B6776">
        <w:rPr>
          <w:rFonts w:ascii="Times New Roman" w:eastAsiaTheme="minorHAnsi" w:hAnsi="Times New Roman"/>
          <w:sz w:val="24"/>
          <w:szCs w:val="24"/>
          <w:vertAlign w:val="superscript"/>
        </w:rPr>
        <w:footnoteReference w:id="2"/>
      </w:r>
      <w:r w:rsidRPr="002B6776">
        <w:rPr>
          <w:rFonts w:ascii="Times New Roman" w:eastAsiaTheme="minorHAnsi" w:hAnsi="Times New Roman"/>
          <w:sz w:val="24"/>
          <w:szCs w:val="24"/>
        </w:rPr>
        <w:t xml:space="preserve"> artiklis 9 sätestatud horisontaalseid põhimõtteid ning lähtuvad põhiõiguste hartast ja arvestavad võrdsete võimaluste põhimõttega, sh välditakse diskrimineerimi</w:t>
      </w:r>
      <w:r w:rsidR="00687240">
        <w:rPr>
          <w:rFonts w:ascii="Times New Roman" w:eastAsiaTheme="minorHAnsi" w:hAnsi="Times New Roman"/>
          <w:sz w:val="24"/>
          <w:szCs w:val="24"/>
        </w:rPr>
        <w:t>st</w:t>
      </w:r>
      <w:r w:rsidRPr="002B6776">
        <w:rPr>
          <w:rFonts w:ascii="Times New Roman" w:eastAsiaTheme="minorHAnsi" w:hAnsi="Times New Roman"/>
          <w:sz w:val="24"/>
          <w:szCs w:val="24"/>
        </w:rPr>
        <w:t xml:space="preserve"> ja tagatakse ligipääsetavus. Nimetatud põhimõtete hoidmist ja strateegia „Eesti 2035“ (edaspidi </w:t>
      </w:r>
      <w:r w:rsidRPr="002B6776">
        <w:rPr>
          <w:rFonts w:ascii="Times New Roman" w:eastAsiaTheme="minorHAnsi" w:hAnsi="Times New Roman"/>
          <w:i/>
          <w:iCs/>
          <w:sz w:val="24"/>
          <w:szCs w:val="24"/>
        </w:rPr>
        <w:t>EE 2035</w:t>
      </w:r>
      <w:r w:rsidRPr="002B6776">
        <w:rPr>
          <w:rFonts w:ascii="Times New Roman" w:eastAsiaTheme="minorHAnsi" w:hAnsi="Times New Roman"/>
          <w:sz w:val="24"/>
          <w:szCs w:val="24"/>
        </w:rPr>
        <w:t xml:space="preserve">) sihtide saavutamist soolist võrdõiguslikkust,  võrdseid   võimalusi ja  ligipääsetavust toetaval moel mõõdetakse järgmiste EE 2035 näitajatega: "Soolise võrdõiguslikkuse indeks", millesse panustatakse soolise võrdõiguslikkuse alase teadlikkuse tõstmise </w:t>
      </w:r>
      <w:r w:rsidRPr="002B6776">
        <w:rPr>
          <w:rFonts w:ascii="Times New Roman" w:hAnsi="Times New Roman"/>
          <w:sz w:val="24"/>
          <w:szCs w:val="24"/>
        </w:rPr>
        <w:t xml:space="preserve">ja soolõime </w:t>
      </w:r>
      <w:r w:rsidRPr="002B6776">
        <w:rPr>
          <w:rFonts w:ascii="Times New Roman" w:eastAsiaTheme="minorHAnsi" w:hAnsi="Times New Roman"/>
          <w:sz w:val="24"/>
          <w:szCs w:val="24"/>
        </w:rPr>
        <w:t xml:space="preserve">tegevustega; „Hoolivuse ja koostöömeelsuse mõõdik“, millesse panustatakse võrdse kohtlemise alase teadlikkuse tõstmisega ja </w:t>
      </w:r>
      <w:r w:rsidRPr="002B6776">
        <w:rPr>
          <w:rFonts w:ascii="Times New Roman" w:hAnsi="Times New Roman"/>
          <w:sz w:val="24"/>
          <w:szCs w:val="24"/>
        </w:rPr>
        <w:t>diskrimineerimise ennetamise tegevustega ning</w:t>
      </w:r>
      <w:r w:rsidRPr="002B6776">
        <w:rPr>
          <w:rFonts w:ascii="Times New Roman" w:eastAsiaTheme="minorHAnsi" w:hAnsi="Times New Roman"/>
          <w:sz w:val="24"/>
          <w:szCs w:val="24"/>
        </w:rPr>
        <w:t xml:space="preserve"> „Ligipääsetavuse näitaja“, millesse panustatakse erivajadusega inimestele ligipääsetavuse tagamisega füüsilisele keskkonnale, infole ja kommunikatsioonile;</w:t>
      </w:r>
    </w:p>
    <w:p w14:paraId="2F44FAC9" w14:textId="77777777" w:rsidR="002B6776" w:rsidRPr="002B6776" w:rsidRDefault="002B6776" w:rsidP="002B6776">
      <w:pPr>
        <w:keepNext/>
        <w:numPr>
          <w:ilvl w:val="0"/>
          <w:numId w:val="4"/>
        </w:numPr>
        <w:spacing w:after="0" w:line="240" w:lineRule="auto"/>
        <w:ind w:left="851" w:hanging="284"/>
        <w:contextualSpacing/>
        <w:jc w:val="both"/>
        <w:outlineLvl w:val="1"/>
        <w:rPr>
          <w:rFonts w:ascii="Times New Roman" w:eastAsia="Times New Roman" w:hAnsi="Times New Roman"/>
          <w:color w:val="000000" w:themeColor="text1"/>
          <w:sz w:val="24"/>
          <w:szCs w:val="24"/>
          <w:lang w:eastAsia="et-EE"/>
        </w:rPr>
      </w:pPr>
      <w:r w:rsidRPr="002B6776">
        <w:rPr>
          <w:rFonts w:ascii="Times New Roman" w:eastAsiaTheme="minorHAnsi" w:hAnsi="Times New Roman"/>
          <w:sz w:val="24"/>
          <w:szCs w:val="24"/>
        </w:rPr>
        <w:lastRenderedPageBreak/>
        <w:t>on kooskõlas „ei kahjusta oluliselt“ põhimõttega, millega ei tekitata määruse nr 2020/852</w:t>
      </w:r>
      <w:r w:rsidRPr="002B6776">
        <w:rPr>
          <w:rFonts w:ascii="Times New Roman" w:eastAsiaTheme="minorHAnsi" w:hAnsi="Times New Roman"/>
          <w:sz w:val="24"/>
          <w:szCs w:val="24"/>
          <w:vertAlign w:val="superscript"/>
        </w:rPr>
        <w:footnoteReference w:id="3"/>
      </w:r>
      <w:r w:rsidRPr="002B6776">
        <w:rPr>
          <w:rFonts w:ascii="Times New Roman" w:eastAsiaTheme="minorHAnsi" w:hAnsi="Times New Roman"/>
          <w:sz w:val="24"/>
          <w:szCs w:val="24"/>
        </w:rPr>
        <w:t xml:space="preserve"> artiklis 17 nimetatud olulist kahju ühelegi artiklis 9 nimetatud keskkonnaeesmärgile;</w:t>
      </w:r>
    </w:p>
    <w:p w14:paraId="0455AD7E" w14:textId="77777777" w:rsidR="002B6776" w:rsidRPr="002B6776" w:rsidRDefault="002B6776" w:rsidP="002B6776">
      <w:pPr>
        <w:keepNext/>
        <w:numPr>
          <w:ilvl w:val="0"/>
          <w:numId w:val="4"/>
        </w:numPr>
        <w:spacing w:after="0" w:line="240" w:lineRule="auto"/>
        <w:ind w:left="851" w:hanging="284"/>
        <w:contextualSpacing/>
        <w:jc w:val="both"/>
        <w:outlineLvl w:val="1"/>
        <w:rPr>
          <w:rFonts w:ascii="Times New Roman" w:eastAsia="Times New Roman" w:hAnsi="Times New Roman"/>
          <w:color w:val="000000" w:themeColor="text1"/>
          <w:sz w:val="24"/>
          <w:szCs w:val="24"/>
          <w:lang w:eastAsia="et-EE"/>
        </w:rPr>
      </w:pPr>
      <w:r w:rsidRPr="002B6776">
        <w:rPr>
          <w:rFonts w:ascii="Times New Roman" w:eastAsia="Times New Roman" w:hAnsi="Times New Roman"/>
          <w:color w:val="000000" w:themeColor="text1"/>
          <w:sz w:val="24"/>
          <w:szCs w:val="24"/>
          <w:lang w:eastAsia="et-EE"/>
        </w:rPr>
        <w:t>on vastavuses AMIFi rakenduskava horisontaalsete tingimustega.</w:t>
      </w:r>
    </w:p>
    <w:p w14:paraId="65ED5E4A" w14:textId="77777777" w:rsidR="002B6776" w:rsidRPr="002B6776" w:rsidRDefault="002B6776" w:rsidP="002B67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heme="minorHAnsi" w:hAnsi="Times New Roman"/>
          <w:sz w:val="24"/>
          <w:szCs w:val="24"/>
        </w:rPr>
      </w:pPr>
    </w:p>
    <w:p w14:paraId="5E471A77" w14:textId="77777777" w:rsidR="002B6776" w:rsidRPr="002B6776" w:rsidRDefault="002B6776" w:rsidP="002B6776">
      <w:pPr>
        <w:numPr>
          <w:ilvl w:val="1"/>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hanging="650"/>
        <w:contextualSpacing/>
        <w:jc w:val="both"/>
        <w:rPr>
          <w:rFonts w:ascii="Times New Roman" w:eastAsiaTheme="minorHAnsi" w:hAnsi="Times New Roman"/>
          <w:b/>
          <w:bCs/>
          <w:sz w:val="24"/>
          <w:szCs w:val="24"/>
        </w:rPr>
      </w:pPr>
      <w:r w:rsidRPr="002B6776">
        <w:rPr>
          <w:rFonts w:ascii="Times New Roman" w:eastAsiaTheme="minorHAnsi" w:hAnsi="Times New Roman"/>
          <w:b/>
          <w:bCs/>
          <w:sz w:val="24"/>
          <w:szCs w:val="24"/>
        </w:rPr>
        <w:t xml:space="preserve">Tugiisikuteenus rahvusvahelise kaitse saajatele </w:t>
      </w:r>
    </w:p>
    <w:p w14:paraId="68CF4269" w14:textId="77777777" w:rsidR="002B6776" w:rsidRPr="002B6776" w:rsidRDefault="002B6776" w:rsidP="002B67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contextualSpacing/>
        <w:jc w:val="both"/>
        <w:rPr>
          <w:rFonts w:ascii="Times New Roman" w:eastAsiaTheme="minorHAnsi" w:hAnsi="Times New Roman"/>
          <w:sz w:val="24"/>
          <w:szCs w:val="24"/>
        </w:rPr>
      </w:pPr>
    </w:p>
    <w:p w14:paraId="7233A7A8" w14:textId="77777777" w:rsidR="002B6776" w:rsidRPr="002B6776" w:rsidRDefault="002B6776" w:rsidP="002B6776">
      <w:pPr>
        <w:numPr>
          <w:ilvl w:val="2"/>
          <w:numId w:val="1"/>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932" w:hanging="1932"/>
        <w:contextualSpacing/>
        <w:jc w:val="both"/>
        <w:rPr>
          <w:rFonts w:ascii="Times New Roman" w:eastAsiaTheme="minorHAnsi" w:hAnsi="Times New Roman"/>
          <w:sz w:val="24"/>
          <w:szCs w:val="24"/>
        </w:rPr>
      </w:pPr>
      <w:r w:rsidRPr="002B6776">
        <w:rPr>
          <w:rFonts w:ascii="Times New Roman" w:eastAsiaTheme="minorHAnsi" w:hAnsi="Times New Roman"/>
          <w:sz w:val="24"/>
          <w:szCs w:val="24"/>
        </w:rPr>
        <w:t>Projekti eesmärk ja sisu</w:t>
      </w:r>
    </w:p>
    <w:p w14:paraId="42B3DF5A" w14:textId="77777777" w:rsidR="002B6776" w:rsidRPr="002B6776" w:rsidRDefault="002B6776" w:rsidP="002B677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932"/>
        <w:contextualSpacing/>
        <w:jc w:val="both"/>
        <w:rPr>
          <w:rFonts w:ascii="Times New Roman" w:eastAsiaTheme="minorHAnsi" w:hAnsi="Times New Roman"/>
          <w:sz w:val="24"/>
          <w:szCs w:val="24"/>
        </w:rPr>
      </w:pPr>
    </w:p>
    <w:p w14:paraId="098C5B56" w14:textId="4502AF5D" w:rsidR="002B6776" w:rsidRPr="002B6776" w:rsidRDefault="002B6776" w:rsidP="002B6776">
      <w:pPr>
        <w:spacing w:after="0" w:line="240" w:lineRule="auto"/>
        <w:ind w:left="709"/>
        <w:jc w:val="both"/>
        <w:rPr>
          <w:rFonts w:ascii="Times New Roman" w:eastAsiaTheme="minorHAnsi" w:hAnsi="Times New Roman"/>
          <w:sz w:val="24"/>
          <w:szCs w:val="24"/>
        </w:rPr>
      </w:pPr>
      <w:bookmarkStart w:id="3" w:name="_Hlk183175107"/>
      <w:bookmarkStart w:id="4" w:name="_Hlk183010659"/>
      <w:r w:rsidRPr="002B6776">
        <w:rPr>
          <w:rFonts w:ascii="Times New Roman" w:eastAsiaTheme="minorHAnsi" w:hAnsi="Times New Roman"/>
          <w:sz w:val="24"/>
          <w:szCs w:val="24"/>
        </w:rPr>
        <w:t>TATi tegevuse eesmärgiks on tugiisikuteenuse kättesaadavuse tagamine punktis 2 kirjeldatud sihtgruppidele</w:t>
      </w:r>
      <w:r w:rsidR="00D64B40">
        <w:rPr>
          <w:rFonts w:ascii="Times New Roman" w:eastAsiaTheme="minorHAnsi" w:hAnsi="Times New Roman"/>
          <w:sz w:val="24"/>
          <w:szCs w:val="24"/>
        </w:rPr>
        <w:t xml:space="preserve"> </w:t>
      </w:r>
      <w:r w:rsidRPr="002B6776">
        <w:rPr>
          <w:rFonts w:ascii="Times New Roman" w:eastAsiaTheme="minorHAnsi" w:hAnsi="Times New Roman"/>
          <w:sz w:val="24"/>
          <w:szCs w:val="24"/>
        </w:rPr>
        <w:t>läbi teenuseosutaja, osutades selleks tugiisikuteenust süsteemselt ning üle-eestiliselt, sh rakendades erinevaid lahenduskäike, sh nt KOV kui teenuseosutaja, eraldiseisev hanke korras leitav partner ning RVK taotlejate majutuskeskuse</w:t>
      </w:r>
      <w:r w:rsidR="00DF3E07">
        <w:rPr>
          <w:rFonts w:ascii="Times New Roman" w:eastAsiaTheme="minorHAnsi" w:hAnsi="Times New Roman"/>
          <w:sz w:val="24"/>
          <w:szCs w:val="24"/>
        </w:rPr>
        <w:t xml:space="preserve"> </w:t>
      </w:r>
      <w:bookmarkStart w:id="5" w:name="_Hlk187757678"/>
      <w:r w:rsidR="00DF3E07">
        <w:rPr>
          <w:rFonts w:ascii="Times New Roman" w:eastAsiaTheme="minorHAnsi" w:hAnsi="Times New Roman"/>
          <w:sz w:val="24"/>
          <w:szCs w:val="24"/>
        </w:rPr>
        <w:t xml:space="preserve">(edaspidi </w:t>
      </w:r>
      <w:r w:rsidR="00DF3E07" w:rsidRPr="00D64B40">
        <w:rPr>
          <w:rFonts w:ascii="Times New Roman" w:eastAsiaTheme="minorHAnsi" w:hAnsi="Times New Roman"/>
          <w:i/>
          <w:iCs/>
          <w:sz w:val="24"/>
          <w:szCs w:val="24"/>
        </w:rPr>
        <w:t>majutuskeskus</w:t>
      </w:r>
      <w:r w:rsidR="00DF3E07">
        <w:rPr>
          <w:rFonts w:ascii="Times New Roman" w:eastAsiaTheme="minorHAnsi" w:hAnsi="Times New Roman"/>
          <w:sz w:val="24"/>
          <w:szCs w:val="24"/>
        </w:rPr>
        <w:t>)</w:t>
      </w:r>
      <w:r w:rsidRPr="002B6776">
        <w:rPr>
          <w:rFonts w:ascii="Times New Roman" w:eastAsiaTheme="minorHAnsi" w:hAnsi="Times New Roman"/>
          <w:sz w:val="24"/>
          <w:szCs w:val="24"/>
        </w:rPr>
        <w:t xml:space="preserve"> </w:t>
      </w:r>
      <w:bookmarkEnd w:id="5"/>
      <w:r w:rsidRPr="002B6776">
        <w:rPr>
          <w:rFonts w:ascii="Times New Roman" w:eastAsiaTheme="minorHAnsi" w:hAnsi="Times New Roman"/>
          <w:sz w:val="24"/>
          <w:szCs w:val="24"/>
        </w:rPr>
        <w:t>teenuse vahendusel. Tugi</w:t>
      </w:r>
      <w:r w:rsidR="00687240">
        <w:rPr>
          <w:rFonts w:ascii="Times New Roman" w:eastAsiaTheme="minorHAnsi" w:hAnsi="Times New Roman"/>
          <w:sz w:val="24"/>
          <w:szCs w:val="24"/>
        </w:rPr>
        <w:t>i</w:t>
      </w:r>
      <w:r w:rsidRPr="002B6776">
        <w:rPr>
          <w:rFonts w:ascii="Times New Roman" w:eastAsiaTheme="minorHAnsi" w:hAnsi="Times New Roman"/>
          <w:sz w:val="24"/>
          <w:szCs w:val="24"/>
        </w:rPr>
        <w:t>sikuteenus seisneb RVK</w:t>
      </w:r>
      <w:r w:rsidR="00DF3E07">
        <w:rPr>
          <w:rFonts w:ascii="Times New Roman" w:eastAsiaTheme="minorHAnsi" w:hAnsi="Times New Roman"/>
          <w:sz w:val="24"/>
          <w:szCs w:val="24"/>
        </w:rPr>
        <w:t xml:space="preserve"> saaja</w:t>
      </w:r>
      <w:r w:rsidRPr="002B6776">
        <w:rPr>
          <w:rFonts w:ascii="Times New Roman" w:eastAsiaTheme="minorHAnsi" w:hAnsi="Times New Roman"/>
          <w:sz w:val="24"/>
          <w:szCs w:val="24"/>
        </w:rPr>
        <w:t xml:space="preserve"> informeerimises teadlike otsuste langetamiseks ning suurema iseseisvuse ja omavastutuse võime arendamiseks. </w:t>
      </w:r>
      <w:r w:rsidRPr="002B6776">
        <w:rPr>
          <w:rFonts w:ascii="Times New Roman" w:eastAsiaTheme="minorHAnsi" w:hAnsi="Times New Roman"/>
          <w:sz w:val="24"/>
          <w:szCs w:val="24"/>
          <w:lang w:eastAsia="et-EE"/>
        </w:rPr>
        <w:t>TAT tegevusega aidatakse kaasa sihtrühmade kohanemisel</w:t>
      </w:r>
      <w:r w:rsidR="00DF3E07">
        <w:rPr>
          <w:rFonts w:ascii="Times New Roman" w:eastAsiaTheme="minorHAnsi" w:hAnsi="Times New Roman"/>
          <w:sz w:val="24"/>
          <w:szCs w:val="24"/>
          <w:lang w:eastAsia="et-EE"/>
        </w:rPr>
        <w:t>e</w:t>
      </w:r>
      <w:r w:rsidRPr="002B6776">
        <w:rPr>
          <w:rFonts w:ascii="Times New Roman" w:eastAsiaTheme="minorHAnsi" w:hAnsi="Times New Roman"/>
          <w:sz w:val="24"/>
          <w:szCs w:val="24"/>
          <w:lang w:eastAsia="et-EE"/>
        </w:rPr>
        <w:t xml:space="preserve"> kohaliku omavalitsuse üksuses ning toetatakse </w:t>
      </w:r>
      <w:r w:rsidR="00687240">
        <w:rPr>
          <w:rFonts w:ascii="Times New Roman" w:eastAsiaTheme="minorHAnsi" w:hAnsi="Times New Roman"/>
          <w:sz w:val="24"/>
          <w:szCs w:val="24"/>
          <w:lang w:eastAsia="et-EE"/>
        </w:rPr>
        <w:t>ja</w:t>
      </w:r>
      <w:r w:rsidR="00687240" w:rsidRPr="002B6776">
        <w:rPr>
          <w:rFonts w:ascii="Times New Roman" w:eastAsiaTheme="minorHAnsi" w:hAnsi="Times New Roman"/>
          <w:sz w:val="24"/>
          <w:szCs w:val="24"/>
          <w:lang w:eastAsia="et-EE"/>
        </w:rPr>
        <w:t xml:space="preserve"> </w:t>
      </w:r>
      <w:r w:rsidRPr="002B6776">
        <w:rPr>
          <w:rFonts w:ascii="Times New Roman" w:eastAsiaTheme="minorHAnsi" w:hAnsi="Times New Roman"/>
          <w:sz w:val="24"/>
          <w:szCs w:val="24"/>
          <w:lang w:eastAsia="et-EE"/>
        </w:rPr>
        <w:t>nõustatakse kohalikku omavalistust vajaliku sotsiaalteenuse tagamisel.</w:t>
      </w:r>
    </w:p>
    <w:bookmarkEnd w:id="3"/>
    <w:p w14:paraId="6898AB56" w14:textId="77777777" w:rsidR="002B6776" w:rsidRPr="002B6776" w:rsidRDefault="002B6776" w:rsidP="002B6776">
      <w:pPr>
        <w:spacing w:after="0" w:line="240" w:lineRule="auto"/>
        <w:ind w:left="709"/>
        <w:jc w:val="both"/>
        <w:rPr>
          <w:rFonts w:ascii="Times New Roman" w:eastAsiaTheme="minorHAnsi" w:hAnsi="Times New Roman"/>
          <w:sz w:val="24"/>
          <w:szCs w:val="24"/>
          <w:lang w:eastAsia="et-EE"/>
        </w:rPr>
      </w:pPr>
    </w:p>
    <w:p w14:paraId="43F1EBD1" w14:textId="77777777" w:rsidR="002B6776" w:rsidRPr="002B6776" w:rsidRDefault="002B6776" w:rsidP="002B6776">
      <w:pPr>
        <w:keepNext/>
        <w:keepLines/>
        <w:shd w:val="clear" w:color="auto" w:fill="FFFFFF"/>
        <w:spacing w:after="0" w:line="240" w:lineRule="auto"/>
        <w:ind w:left="708"/>
        <w:jc w:val="both"/>
        <w:outlineLvl w:val="2"/>
        <w:rPr>
          <w:rFonts w:ascii="Times New Roman" w:eastAsiaTheme="minorHAnsi" w:hAnsi="Times New Roman"/>
          <w:sz w:val="24"/>
          <w:szCs w:val="24"/>
        </w:rPr>
      </w:pPr>
      <w:bookmarkStart w:id="6" w:name="_Hlk183175145"/>
      <w:r w:rsidRPr="002B6776">
        <w:rPr>
          <w:rFonts w:ascii="Times New Roman" w:eastAsiaTheme="minorHAnsi" w:hAnsi="Times New Roman"/>
          <w:sz w:val="24"/>
          <w:szCs w:val="24"/>
        </w:rPr>
        <w:t>Eestis rahvusvahelise kaitse saanud inimesel on VRKS § 75 lõikest 1 tulenevalt Eestis viibimise ajal õigus saada riiklikku pensioni, peretoetusi, tööturuteenuseid ja tööturutoetust, sotsiaaltoetusi, tervishoiuteenuseid ja muud abi samadel õigusaktides sätestatud alustel nagu Eesti alalisel elanikul.</w:t>
      </w:r>
    </w:p>
    <w:p w14:paraId="32F08825" w14:textId="77777777" w:rsidR="002B6776" w:rsidRPr="002B6776" w:rsidRDefault="002B6776" w:rsidP="002B6776">
      <w:pPr>
        <w:spacing w:after="0" w:line="240" w:lineRule="auto"/>
      </w:pPr>
    </w:p>
    <w:p w14:paraId="50A3B767" w14:textId="77777777" w:rsidR="002B6776" w:rsidRPr="002B6776" w:rsidRDefault="002B6776" w:rsidP="002B6776">
      <w:pPr>
        <w:spacing w:after="0" w:line="240" w:lineRule="auto"/>
        <w:ind w:left="709"/>
        <w:jc w:val="both"/>
        <w:rPr>
          <w:rFonts w:ascii="Times New Roman" w:eastAsiaTheme="minorHAnsi" w:hAnsi="Times New Roman"/>
          <w:sz w:val="24"/>
          <w:szCs w:val="24"/>
          <w:lang w:eastAsia="et-EE"/>
        </w:rPr>
      </w:pPr>
      <w:r w:rsidRPr="002B6776">
        <w:rPr>
          <w:rFonts w:ascii="Times New Roman" w:eastAsiaTheme="minorHAnsi" w:hAnsi="Times New Roman"/>
          <w:sz w:val="24"/>
          <w:szCs w:val="24"/>
        </w:rPr>
        <w:t>Tingituna sihtgruppide päritolust, eluoskustest, erivajadustest ja/või läbielatust võib kaitse saanu vajada tuge, mis toetaks tema iseseisva toimetulekuvõime saavutamist uues elukeskkonnas Eestis. Sihtgruppidel puudub sageli sotsiaalne võrgustik ning elu ülesehitamisega alustatakse nullist. Täiendavalt võib esineda väljakutseid vaimse tervisega tulenevalt päritoluriigis ja/või</w:t>
      </w:r>
      <w:r w:rsidRPr="002B6776">
        <w:rPr>
          <w:rFonts w:ascii="Times New Roman" w:eastAsiaTheme="minorHAnsi" w:hAnsi="Times New Roman"/>
          <w:sz w:val="24"/>
          <w:szCs w:val="24"/>
          <w:lang w:eastAsia="et-EE"/>
        </w:rPr>
        <w:t xml:space="preserve"> rändeteekonnal kogetust.</w:t>
      </w:r>
    </w:p>
    <w:p w14:paraId="33BFBA98" w14:textId="77777777" w:rsidR="002B6776" w:rsidRPr="002B6776" w:rsidRDefault="002B6776" w:rsidP="002B6776">
      <w:pPr>
        <w:spacing w:after="0" w:line="240" w:lineRule="auto"/>
        <w:jc w:val="both"/>
        <w:rPr>
          <w:rFonts w:ascii="Times New Roman" w:eastAsiaTheme="minorHAnsi" w:hAnsi="Times New Roman"/>
          <w:sz w:val="24"/>
          <w:szCs w:val="24"/>
          <w:lang w:eastAsia="et-EE"/>
        </w:rPr>
      </w:pPr>
    </w:p>
    <w:p w14:paraId="5D661A54" w14:textId="0F129B47" w:rsidR="002B6776" w:rsidRPr="002B6776" w:rsidRDefault="002B6776" w:rsidP="002B6776">
      <w:pPr>
        <w:spacing w:after="0" w:line="240" w:lineRule="auto"/>
        <w:ind w:left="708"/>
        <w:jc w:val="both"/>
        <w:rPr>
          <w:rFonts w:ascii="Times New Roman" w:hAnsi="Times New Roman"/>
          <w:color w:val="000000" w:themeColor="text1"/>
          <w:sz w:val="24"/>
          <w:szCs w:val="24"/>
          <w:lang w:eastAsia="et-EE"/>
        </w:rPr>
      </w:pPr>
      <w:r w:rsidRPr="002B6776">
        <w:rPr>
          <w:rFonts w:ascii="Times New Roman" w:eastAsiaTheme="minorHAnsi" w:hAnsi="Times New Roman"/>
          <w:sz w:val="24"/>
          <w:szCs w:val="24"/>
          <w:lang w:eastAsia="et-EE"/>
        </w:rPr>
        <w:t xml:space="preserve">SKA koordineerib tugiisikuteenuse tegevuse korraldust, toetades </w:t>
      </w:r>
      <w:r w:rsidR="00687240">
        <w:rPr>
          <w:rFonts w:ascii="Times New Roman" w:eastAsiaTheme="minorHAnsi" w:hAnsi="Times New Roman"/>
          <w:sz w:val="24"/>
          <w:szCs w:val="24"/>
          <w:lang w:eastAsia="et-EE"/>
        </w:rPr>
        <w:t xml:space="preserve">selle </w:t>
      </w:r>
      <w:r w:rsidRPr="002B6776">
        <w:rPr>
          <w:rFonts w:ascii="Times New Roman" w:eastAsiaTheme="minorHAnsi" w:hAnsi="Times New Roman"/>
          <w:sz w:val="24"/>
          <w:szCs w:val="24"/>
          <w:lang w:eastAsia="et-EE"/>
        </w:rPr>
        <w:t>teenuse</w:t>
      </w:r>
      <w:r w:rsidR="00687240">
        <w:rPr>
          <w:rFonts w:ascii="Times New Roman" w:eastAsiaTheme="minorHAnsi" w:hAnsi="Times New Roman"/>
          <w:sz w:val="24"/>
          <w:szCs w:val="24"/>
          <w:lang w:eastAsia="et-EE"/>
        </w:rPr>
        <w:t xml:space="preserve"> </w:t>
      </w:r>
      <w:r w:rsidRPr="002B6776">
        <w:rPr>
          <w:rFonts w:ascii="Times New Roman" w:eastAsiaTheme="minorHAnsi" w:hAnsi="Times New Roman"/>
          <w:sz w:val="24"/>
          <w:szCs w:val="24"/>
          <w:lang w:eastAsia="et-EE"/>
        </w:rPr>
        <w:t xml:space="preserve">osutajaid ning tagades teenuse üle-eestilist ühtlustamist. </w:t>
      </w:r>
      <w:bookmarkStart w:id="7" w:name="_Hlk187757967"/>
      <w:r w:rsidR="00DF3E07" w:rsidRPr="002B6776">
        <w:rPr>
          <w:rFonts w:ascii="Times New Roman" w:hAnsi="Times New Roman"/>
          <w:color w:val="000000" w:themeColor="text1"/>
          <w:sz w:val="24"/>
          <w:szCs w:val="24"/>
          <w:lang w:eastAsia="et-EE"/>
        </w:rPr>
        <w:t xml:space="preserve">TATi raames </w:t>
      </w:r>
      <w:r w:rsidR="00DF3E07">
        <w:rPr>
          <w:rFonts w:ascii="Times New Roman" w:hAnsi="Times New Roman"/>
          <w:color w:val="000000" w:themeColor="text1"/>
          <w:sz w:val="24"/>
          <w:szCs w:val="24"/>
          <w:lang w:eastAsia="et-EE"/>
        </w:rPr>
        <w:t>piloteeritakse</w:t>
      </w:r>
      <w:r w:rsidR="00DF3E07" w:rsidRPr="002B6776">
        <w:rPr>
          <w:rFonts w:ascii="Times New Roman" w:hAnsi="Times New Roman"/>
          <w:color w:val="000000" w:themeColor="text1"/>
          <w:sz w:val="24"/>
          <w:szCs w:val="24"/>
          <w:lang w:eastAsia="et-EE"/>
        </w:rPr>
        <w:t xml:space="preserve"> teenusele suunamist tuginedes VRKS ja SHS põhimõtetele</w:t>
      </w:r>
      <w:r w:rsidR="00DF3E07">
        <w:rPr>
          <w:rFonts w:ascii="Times New Roman" w:hAnsi="Times New Roman"/>
          <w:color w:val="000000" w:themeColor="text1"/>
          <w:sz w:val="24"/>
          <w:szCs w:val="24"/>
          <w:lang w:eastAsia="et-EE"/>
        </w:rPr>
        <w:t>, see tähendab suunamine KOV-i</w:t>
      </w:r>
      <w:r w:rsidR="00DF3E07" w:rsidRPr="002B6776">
        <w:rPr>
          <w:rFonts w:ascii="Times New Roman" w:hAnsi="Times New Roman"/>
          <w:color w:val="000000" w:themeColor="text1"/>
          <w:sz w:val="24"/>
          <w:szCs w:val="24"/>
          <w:lang w:eastAsia="et-EE"/>
        </w:rPr>
        <w:t xml:space="preserve"> ja</w:t>
      </w:r>
      <w:r w:rsidR="00DF3E07">
        <w:rPr>
          <w:rFonts w:ascii="Times New Roman" w:hAnsi="Times New Roman"/>
          <w:color w:val="000000" w:themeColor="text1"/>
          <w:sz w:val="24"/>
          <w:szCs w:val="24"/>
          <w:lang w:eastAsia="et-EE"/>
        </w:rPr>
        <w:t>/või</w:t>
      </w:r>
      <w:r w:rsidR="00DF3E07" w:rsidRPr="002B6776">
        <w:rPr>
          <w:rFonts w:ascii="Times New Roman" w:hAnsi="Times New Roman"/>
          <w:color w:val="000000" w:themeColor="text1"/>
          <w:sz w:val="24"/>
          <w:szCs w:val="24"/>
          <w:lang w:eastAsia="et-EE"/>
        </w:rPr>
        <w:t xml:space="preserve"> majutuskeskuse poolt. </w:t>
      </w:r>
      <w:r w:rsidRPr="002B6776">
        <w:rPr>
          <w:rFonts w:ascii="Times New Roman" w:eastAsiaTheme="minorHAnsi" w:hAnsi="Times New Roman"/>
          <w:sz w:val="24"/>
          <w:szCs w:val="24"/>
          <w:lang w:eastAsia="et-EE"/>
        </w:rPr>
        <w:t>Toetatavate tegevuste kaudu on tagatud</w:t>
      </w:r>
      <w:r w:rsidR="00DF3E07">
        <w:rPr>
          <w:rFonts w:ascii="Times New Roman" w:eastAsiaTheme="minorHAnsi" w:hAnsi="Times New Roman"/>
          <w:sz w:val="24"/>
          <w:szCs w:val="24"/>
          <w:lang w:eastAsia="et-EE"/>
        </w:rPr>
        <w:t xml:space="preserve"> nii</w:t>
      </w:r>
      <w:r w:rsidRPr="002B6776">
        <w:rPr>
          <w:rFonts w:ascii="Times New Roman" w:eastAsiaTheme="minorHAnsi" w:hAnsi="Times New Roman"/>
          <w:sz w:val="24"/>
          <w:szCs w:val="24"/>
          <w:lang w:eastAsia="et-EE"/>
        </w:rPr>
        <w:t xml:space="preserve"> KOV üksusesse</w:t>
      </w:r>
      <w:r w:rsidR="00DF3E07">
        <w:rPr>
          <w:rFonts w:ascii="Times New Roman" w:eastAsiaTheme="minorHAnsi" w:hAnsi="Times New Roman"/>
          <w:sz w:val="24"/>
          <w:szCs w:val="24"/>
          <w:lang w:eastAsia="et-EE"/>
        </w:rPr>
        <w:t xml:space="preserve"> kui ka majutuskeskusesse</w:t>
      </w:r>
      <w:r w:rsidRPr="002B6776">
        <w:rPr>
          <w:rFonts w:ascii="Times New Roman" w:eastAsiaTheme="minorHAnsi" w:hAnsi="Times New Roman"/>
          <w:sz w:val="24"/>
          <w:szCs w:val="24"/>
          <w:lang w:eastAsia="et-EE"/>
        </w:rPr>
        <w:t xml:space="preserve"> elama asuvatele</w:t>
      </w:r>
      <w:r w:rsidR="00755158">
        <w:rPr>
          <w:rFonts w:ascii="Times New Roman" w:eastAsiaTheme="minorHAnsi" w:hAnsi="Times New Roman"/>
          <w:sz w:val="24"/>
          <w:szCs w:val="24"/>
          <w:lang w:eastAsia="et-EE"/>
        </w:rPr>
        <w:t xml:space="preserve"> </w:t>
      </w:r>
      <w:r w:rsidRPr="002B6776">
        <w:rPr>
          <w:rFonts w:ascii="Times New Roman" w:eastAsiaTheme="minorHAnsi" w:hAnsi="Times New Roman"/>
          <w:sz w:val="24"/>
          <w:szCs w:val="24"/>
          <w:lang w:eastAsia="et-EE"/>
        </w:rPr>
        <w:t xml:space="preserve">kaitse saanutele  personaalne tugi </w:t>
      </w:r>
      <w:r w:rsidRPr="002B6776">
        <w:rPr>
          <w:rFonts w:ascii="Times New Roman" w:hAnsi="Times New Roman"/>
          <w:color w:val="000000" w:themeColor="text1"/>
          <w:sz w:val="24"/>
          <w:szCs w:val="24"/>
          <w:lang w:eastAsia="et-EE"/>
        </w:rPr>
        <w:t xml:space="preserve">maksimaalselt 12 kuud alates kaitse saamisest. </w:t>
      </w:r>
    </w:p>
    <w:bookmarkEnd w:id="7"/>
    <w:p w14:paraId="5B3136BB" w14:textId="77777777" w:rsidR="002B6776" w:rsidRPr="002B6776" w:rsidRDefault="002B6776" w:rsidP="00D37395">
      <w:pPr>
        <w:spacing w:after="0" w:line="240" w:lineRule="auto"/>
        <w:jc w:val="both"/>
        <w:rPr>
          <w:rFonts w:ascii="Times New Roman" w:eastAsiaTheme="minorHAnsi" w:hAnsi="Times New Roman"/>
          <w:sz w:val="24"/>
          <w:szCs w:val="24"/>
          <w:lang w:eastAsia="et-EE"/>
        </w:rPr>
      </w:pPr>
    </w:p>
    <w:p w14:paraId="0A0D8FFC" w14:textId="5A9846BF" w:rsidR="002B6776" w:rsidRPr="002B6776" w:rsidRDefault="002B6776" w:rsidP="002B6776">
      <w:pPr>
        <w:spacing w:after="0" w:line="240" w:lineRule="auto"/>
        <w:ind w:left="708"/>
        <w:jc w:val="both"/>
        <w:rPr>
          <w:rFonts w:ascii="Times New Roman" w:eastAsiaTheme="minorHAnsi" w:hAnsi="Times New Roman"/>
          <w:sz w:val="24"/>
          <w:szCs w:val="24"/>
          <w:lang w:eastAsia="et-EE"/>
        </w:rPr>
      </w:pPr>
      <w:r w:rsidRPr="002B6776">
        <w:rPr>
          <w:rFonts w:ascii="Times New Roman" w:eastAsiaTheme="minorHAnsi" w:hAnsi="Times New Roman"/>
          <w:sz w:val="24"/>
          <w:szCs w:val="24"/>
          <w:lang w:eastAsia="et-EE"/>
        </w:rPr>
        <w:t>Projekti raames on</w:t>
      </w:r>
      <w:r w:rsidR="00841D74">
        <w:rPr>
          <w:rFonts w:ascii="Times New Roman" w:eastAsiaTheme="minorHAnsi" w:hAnsi="Times New Roman"/>
          <w:sz w:val="24"/>
          <w:szCs w:val="24"/>
          <w:lang w:eastAsia="et-EE"/>
        </w:rPr>
        <w:t xml:space="preserve"> plaanitud piloteerida</w:t>
      </w:r>
      <w:r w:rsidRPr="002B6776">
        <w:rPr>
          <w:rFonts w:ascii="Times New Roman" w:eastAsiaTheme="minorHAnsi" w:hAnsi="Times New Roman"/>
          <w:sz w:val="24"/>
          <w:szCs w:val="24"/>
          <w:lang w:eastAsia="et-EE"/>
        </w:rPr>
        <w:t xml:space="preserve"> tugiisikuteenuse korra</w:t>
      </w:r>
      <w:r w:rsidR="00841D74">
        <w:rPr>
          <w:rFonts w:ascii="Times New Roman" w:eastAsiaTheme="minorHAnsi" w:hAnsi="Times New Roman"/>
          <w:sz w:val="24"/>
          <w:szCs w:val="24"/>
          <w:lang w:eastAsia="et-EE"/>
        </w:rPr>
        <w:t>ldamiseks</w:t>
      </w:r>
      <w:r w:rsidRPr="002B6776">
        <w:rPr>
          <w:rFonts w:ascii="Times New Roman" w:eastAsiaTheme="minorHAnsi" w:hAnsi="Times New Roman"/>
          <w:sz w:val="24"/>
          <w:szCs w:val="24"/>
          <w:lang w:eastAsia="et-EE"/>
        </w:rPr>
        <w:t xml:space="preserve"> järgmis</w:t>
      </w:r>
      <w:r w:rsidR="00841D74">
        <w:rPr>
          <w:rFonts w:ascii="Times New Roman" w:eastAsiaTheme="minorHAnsi" w:hAnsi="Times New Roman"/>
          <w:sz w:val="24"/>
          <w:szCs w:val="24"/>
          <w:lang w:eastAsia="et-EE"/>
        </w:rPr>
        <w:t>i</w:t>
      </w:r>
      <w:r w:rsidRPr="002B6776">
        <w:rPr>
          <w:rFonts w:ascii="Times New Roman" w:eastAsiaTheme="minorHAnsi" w:hAnsi="Times New Roman"/>
          <w:sz w:val="24"/>
          <w:szCs w:val="24"/>
          <w:lang w:eastAsia="et-EE"/>
        </w:rPr>
        <w:t xml:space="preserve"> lahendus</w:t>
      </w:r>
      <w:r w:rsidR="00841D74">
        <w:rPr>
          <w:rFonts w:ascii="Times New Roman" w:eastAsiaTheme="minorHAnsi" w:hAnsi="Times New Roman"/>
          <w:sz w:val="24"/>
          <w:szCs w:val="24"/>
          <w:lang w:eastAsia="et-EE"/>
        </w:rPr>
        <w:t xml:space="preserve">i, mille kaudu on </w:t>
      </w:r>
      <w:r w:rsidRPr="002B6776">
        <w:rPr>
          <w:rFonts w:ascii="Times New Roman" w:eastAsiaTheme="minorHAnsi" w:hAnsi="Times New Roman"/>
          <w:sz w:val="24"/>
          <w:szCs w:val="24"/>
          <w:lang w:eastAsia="et-EE"/>
        </w:rPr>
        <w:t xml:space="preserve">võimalik tagada üle-eestiline teenuse kättesaadavus, kuna sihtrühmad võivad asuda väga erinevates Eesti piirkondades: </w:t>
      </w:r>
    </w:p>
    <w:p w14:paraId="4559672D" w14:textId="77777777" w:rsidR="002B6776" w:rsidRPr="002B6776" w:rsidRDefault="002B6776" w:rsidP="002B6776">
      <w:pPr>
        <w:spacing w:after="0" w:line="240" w:lineRule="auto"/>
        <w:ind w:left="708"/>
        <w:jc w:val="both"/>
        <w:rPr>
          <w:rFonts w:ascii="Times New Roman" w:eastAsiaTheme="minorHAnsi" w:hAnsi="Times New Roman"/>
          <w:sz w:val="24"/>
          <w:szCs w:val="24"/>
          <w:lang w:eastAsia="et-EE"/>
        </w:rPr>
      </w:pPr>
    </w:p>
    <w:p w14:paraId="11D7FEC5" w14:textId="3C4B16E0" w:rsidR="002B6776" w:rsidRPr="002B6776" w:rsidRDefault="002B6776" w:rsidP="00FE690B">
      <w:pPr>
        <w:spacing w:after="0" w:line="240" w:lineRule="auto"/>
        <w:ind w:left="1416"/>
        <w:jc w:val="both"/>
        <w:rPr>
          <w:rFonts w:ascii="Times New Roman" w:hAnsi="Times New Roman"/>
          <w:sz w:val="24"/>
          <w:szCs w:val="24"/>
          <w:lang w:eastAsia="et-EE"/>
        </w:rPr>
      </w:pPr>
      <w:r w:rsidRPr="002B6776">
        <w:rPr>
          <w:rFonts w:ascii="Times New Roman" w:hAnsi="Times New Roman"/>
          <w:sz w:val="24"/>
          <w:szCs w:val="24"/>
          <w:lang w:eastAsia="et-EE"/>
        </w:rPr>
        <w:t xml:space="preserve">1) </w:t>
      </w:r>
      <w:r w:rsidR="00841D74">
        <w:rPr>
          <w:rFonts w:ascii="Times New Roman" w:hAnsi="Times New Roman"/>
          <w:sz w:val="24"/>
          <w:szCs w:val="24"/>
          <w:lang w:eastAsia="et-EE"/>
        </w:rPr>
        <w:t>Teenusele suunamine</w:t>
      </w:r>
      <w:r w:rsidR="00500112">
        <w:rPr>
          <w:rFonts w:ascii="Times New Roman" w:hAnsi="Times New Roman"/>
          <w:sz w:val="24"/>
          <w:szCs w:val="24"/>
          <w:lang w:eastAsia="et-EE"/>
        </w:rPr>
        <w:t xml:space="preserve"> ja osutamine</w:t>
      </w:r>
      <w:r w:rsidR="00841D74">
        <w:rPr>
          <w:rFonts w:ascii="Times New Roman" w:hAnsi="Times New Roman"/>
          <w:sz w:val="24"/>
          <w:szCs w:val="24"/>
          <w:lang w:eastAsia="et-EE"/>
        </w:rPr>
        <w:t xml:space="preserve"> KOV</w:t>
      </w:r>
      <w:r w:rsidR="00500112">
        <w:rPr>
          <w:rFonts w:ascii="Times New Roman" w:hAnsi="Times New Roman"/>
          <w:sz w:val="24"/>
          <w:szCs w:val="24"/>
          <w:lang w:eastAsia="et-EE"/>
        </w:rPr>
        <w:t>-</w:t>
      </w:r>
      <w:r w:rsidR="00841D74">
        <w:rPr>
          <w:rFonts w:ascii="Times New Roman" w:hAnsi="Times New Roman"/>
          <w:sz w:val="24"/>
          <w:szCs w:val="24"/>
          <w:lang w:eastAsia="et-EE"/>
        </w:rPr>
        <w:t>i poolt. Suunajaks on k</w:t>
      </w:r>
      <w:r w:rsidRPr="002B6776">
        <w:rPr>
          <w:rFonts w:ascii="Times New Roman" w:hAnsi="Times New Roman"/>
          <w:sz w:val="24"/>
          <w:szCs w:val="24"/>
          <w:lang w:eastAsia="et-EE"/>
        </w:rPr>
        <w:t xml:space="preserve">ohalikud omavalitsused, kuhu on elama asunud palju </w:t>
      </w:r>
      <w:r w:rsidR="00841D74">
        <w:rPr>
          <w:rFonts w:ascii="Times New Roman" w:hAnsi="Times New Roman"/>
          <w:sz w:val="24"/>
          <w:szCs w:val="24"/>
          <w:lang w:eastAsia="et-EE"/>
        </w:rPr>
        <w:t>RVK</w:t>
      </w:r>
      <w:r w:rsidRPr="002B6776">
        <w:rPr>
          <w:rFonts w:ascii="Times New Roman" w:hAnsi="Times New Roman"/>
          <w:sz w:val="24"/>
          <w:szCs w:val="24"/>
          <w:lang w:eastAsia="et-EE"/>
        </w:rPr>
        <w:t xml:space="preserve"> saajaid</w:t>
      </w:r>
      <w:r w:rsidR="00841D74">
        <w:rPr>
          <w:rFonts w:ascii="Times New Roman" w:hAnsi="Times New Roman"/>
          <w:sz w:val="24"/>
          <w:szCs w:val="24"/>
          <w:lang w:eastAsia="et-EE"/>
        </w:rPr>
        <w:t xml:space="preserve"> </w:t>
      </w:r>
      <w:r w:rsidRPr="002B6776">
        <w:rPr>
          <w:rFonts w:ascii="Times New Roman" w:hAnsi="Times New Roman"/>
          <w:sz w:val="24"/>
          <w:szCs w:val="24"/>
          <w:lang w:eastAsia="et-EE"/>
        </w:rPr>
        <w:t xml:space="preserve">ning </w:t>
      </w:r>
      <w:r w:rsidR="00841D74">
        <w:rPr>
          <w:rFonts w:ascii="Times New Roman" w:hAnsi="Times New Roman"/>
          <w:sz w:val="24"/>
          <w:szCs w:val="24"/>
          <w:lang w:eastAsia="et-EE"/>
        </w:rPr>
        <w:t xml:space="preserve">kes </w:t>
      </w:r>
      <w:r w:rsidRPr="002B6776">
        <w:rPr>
          <w:rFonts w:ascii="Times New Roman" w:hAnsi="Times New Roman"/>
          <w:sz w:val="24"/>
          <w:szCs w:val="24"/>
          <w:lang w:eastAsia="et-EE"/>
        </w:rPr>
        <w:t>on näidanud valmisolekut teenust korraldada.</w:t>
      </w:r>
      <w:r w:rsidR="00500112">
        <w:rPr>
          <w:rFonts w:ascii="Times New Roman" w:hAnsi="Times New Roman"/>
          <w:sz w:val="24"/>
          <w:szCs w:val="24"/>
          <w:lang w:eastAsia="et-EE"/>
        </w:rPr>
        <w:t xml:space="preserve"> </w:t>
      </w:r>
      <w:r w:rsidR="00841D74">
        <w:rPr>
          <w:rFonts w:ascii="Times New Roman" w:hAnsi="Times New Roman"/>
          <w:sz w:val="24"/>
          <w:szCs w:val="24"/>
          <w:lang w:eastAsia="et-EE"/>
        </w:rPr>
        <w:t>Sellest lähtuvalt on p</w:t>
      </w:r>
      <w:r w:rsidRPr="002B6776">
        <w:rPr>
          <w:rFonts w:ascii="Times New Roman" w:hAnsi="Times New Roman"/>
          <w:sz w:val="24"/>
          <w:szCs w:val="24"/>
          <w:lang w:eastAsia="et-EE"/>
        </w:rPr>
        <w:t xml:space="preserve">artneritena kaasatud Tallinna linn, Tartu linn, Rakvere linn </w:t>
      </w:r>
      <w:r w:rsidR="00687240">
        <w:rPr>
          <w:rFonts w:ascii="Times New Roman" w:hAnsi="Times New Roman"/>
          <w:sz w:val="24"/>
          <w:szCs w:val="24"/>
          <w:lang w:eastAsia="et-EE"/>
        </w:rPr>
        <w:t xml:space="preserve">ja </w:t>
      </w:r>
      <w:r w:rsidRPr="002B6776">
        <w:rPr>
          <w:rFonts w:ascii="Times New Roman" w:hAnsi="Times New Roman"/>
          <w:sz w:val="24"/>
          <w:szCs w:val="24"/>
          <w:lang w:eastAsia="et-EE"/>
        </w:rPr>
        <w:t xml:space="preserve">Jõhvi vald. Partner KOV-des on ette nähtud koordinaatori ja/või tugiisikute töökohtade töötasu katmine. </w:t>
      </w:r>
    </w:p>
    <w:p w14:paraId="0FDC4F94" w14:textId="27B95EE0" w:rsidR="002B6776" w:rsidRPr="002B6776" w:rsidRDefault="002B6776" w:rsidP="00FE690B">
      <w:pPr>
        <w:spacing w:after="0" w:line="240" w:lineRule="auto"/>
        <w:ind w:left="1416"/>
        <w:jc w:val="both"/>
        <w:rPr>
          <w:rFonts w:ascii="Times New Roman" w:hAnsi="Times New Roman"/>
          <w:sz w:val="24"/>
          <w:szCs w:val="24"/>
          <w:lang w:eastAsia="et-EE"/>
        </w:rPr>
      </w:pPr>
      <w:r w:rsidRPr="002B6776">
        <w:rPr>
          <w:rFonts w:ascii="Times New Roman" w:hAnsi="Times New Roman"/>
          <w:sz w:val="24"/>
          <w:szCs w:val="24"/>
          <w:lang w:eastAsia="et-EE"/>
        </w:rPr>
        <w:lastRenderedPageBreak/>
        <w:t xml:space="preserve">2)  </w:t>
      </w:r>
      <w:r w:rsidR="00841D74">
        <w:rPr>
          <w:rFonts w:ascii="Times New Roman" w:hAnsi="Times New Roman"/>
          <w:sz w:val="24"/>
          <w:szCs w:val="24"/>
          <w:lang w:eastAsia="et-EE"/>
        </w:rPr>
        <w:t xml:space="preserve">Teenusele </w:t>
      </w:r>
      <w:r w:rsidR="00500112">
        <w:rPr>
          <w:rFonts w:ascii="Times New Roman" w:hAnsi="Times New Roman"/>
          <w:sz w:val="24"/>
          <w:szCs w:val="24"/>
          <w:lang w:eastAsia="et-EE"/>
        </w:rPr>
        <w:t>s</w:t>
      </w:r>
      <w:r w:rsidR="00841D74">
        <w:rPr>
          <w:rFonts w:ascii="Times New Roman" w:hAnsi="Times New Roman"/>
          <w:sz w:val="24"/>
          <w:szCs w:val="24"/>
          <w:lang w:eastAsia="et-EE"/>
        </w:rPr>
        <w:t>uunamine</w:t>
      </w:r>
      <w:r w:rsidR="00500112">
        <w:rPr>
          <w:rFonts w:ascii="Times New Roman" w:hAnsi="Times New Roman"/>
          <w:sz w:val="24"/>
          <w:szCs w:val="24"/>
          <w:lang w:eastAsia="et-EE"/>
        </w:rPr>
        <w:t xml:space="preserve"> KOV-i poolt, kuid teenust osutab</w:t>
      </w:r>
      <w:r w:rsidR="00841D74">
        <w:rPr>
          <w:rFonts w:ascii="Times New Roman" w:hAnsi="Times New Roman"/>
          <w:sz w:val="24"/>
          <w:szCs w:val="24"/>
          <w:lang w:eastAsia="et-EE"/>
        </w:rPr>
        <w:t xml:space="preserve"> </w:t>
      </w:r>
      <w:r w:rsidRPr="002B6776">
        <w:rPr>
          <w:rFonts w:ascii="Times New Roman" w:hAnsi="Times New Roman"/>
          <w:sz w:val="24"/>
          <w:szCs w:val="24"/>
          <w:lang w:eastAsia="et-EE"/>
        </w:rPr>
        <w:t>SKA hangitud teenuseosutaja</w:t>
      </w:r>
      <w:r w:rsidR="00500112">
        <w:rPr>
          <w:rFonts w:ascii="Times New Roman" w:hAnsi="Times New Roman"/>
          <w:sz w:val="24"/>
          <w:szCs w:val="24"/>
          <w:lang w:eastAsia="et-EE"/>
        </w:rPr>
        <w:t>,</w:t>
      </w:r>
      <w:r w:rsidRPr="002B6776">
        <w:rPr>
          <w:rFonts w:ascii="Times New Roman" w:hAnsi="Times New Roman"/>
          <w:sz w:val="24"/>
          <w:szCs w:val="24"/>
          <w:lang w:eastAsia="et-EE"/>
        </w:rPr>
        <w:t xml:space="preserve"> kes tagab tugiisikuteenuse nendes KOVi üksustes, kes ei ole projekti partneriks. KOV tagab juhtumikorralduse. </w:t>
      </w:r>
    </w:p>
    <w:p w14:paraId="11E5961E" w14:textId="3C79E9F8" w:rsidR="002B6776" w:rsidRPr="002B6776" w:rsidRDefault="005A6AFB" w:rsidP="005A6AFB">
      <w:pPr>
        <w:spacing w:after="0" w:line="240" w:lineRule="auto"/>
        <w:ind w:left="1416"/>
        <w:jc w:val="both"/>
        <w:rPr>
          <w:rFonts w:ascii="Times New Roman" w:hAnsi="Times New Roman"/>
          <w:sz w:val="24"/>
          <w:szCs w:val="24"/>
          <w:lang w:eastAsia="et-EE"/>
        </w:rPr>
      </w:pPr>
      <w:r>
        <w:rPr>
          <w:rFonts w:ascii="Times New Roman" w:hAnsi="Times New Roman"/>
          <w:sz w:val="24"/>
          <w:szCs w:val="24"/>
          <w:lang w:eastAsia="et-EE"/>
        </w:rPr>
        <w:t xml:space="preserve">3)  </w:t>
      </w:r>
      <w:r w:rsidR="00500112">
        <w:rPr>
          <w:rFonts w:ascii="Times New Roman" w:hAnsi="Times New Roman"/>
          <w:sz w:val="24"/>
          <w:szCs w:val="24"/>
          <w:lang w:eastAsia="et-EE"/>
        </w:rPr>
        <w:t>Teenusele suunamine ja osutamine majutuskeskuse poolt</w:t>
      </w:r>
      <w:r w:rsidR="00687240">
        <w:rPr>
          <w:rFonts w:ascii="Times New Roman" w:hAnsi="Times New Roman"/>
          <w:sz w:val="24"/>
          <w:szCs w:val="24"/>
          <w:lang w:eastAsia="et-EE"/>
        </w:rPr>
        <w:t>,</w:t>
      </w:r>
      <w:r w:rsidR="00D01B6E">
        <w:rPr>
          <w:rFonts w:ascii="Times New Roman" w:hAnsi="Times New Roman"/>
          <w:sz w:val="24"/>
          <w:szCs w:val="24"/>
          <w:lang w:eastAsia="et-EE"/>
        </w:rPr>
        <w:t xml:space="preserve"> sh KOV</w:t>
      </w:r>
      <w:r w:rsidR="00687240">
        <w:rPr>
          <w:rFonts w:ascii="Times New Roman" w:hAnsi="Times New Roman"/>
          <w:sz w:val="24"/>
          <w:szCs w:val="24"/>
          <w:lang w:eastAsia="et-EE"/>
        </w:rPr>
        <w:t>-</w:t>
      </w:r>
      <w:r w:rsidR="00D01B6E">
        <w:rPr>
          <w:rFonts w:ascii="Times New Roman" w:hAnsi="Times New Roman"/>
          <w:sz w:val="24"/>
          <w:szCs w:val="24"/>
          <w:lang w:eastAsia="et-EE"/>
        </w:rPr>
        <w:t>i ja PPA ettepanekul</w:t>
      </w:r>
      <w:r w:rsidR="00500112">
        <w:rPr>
          <w:rFonts w:ascii="Times New Roman" w:hAnsi="Times New Roman"/>
          <w:sz w:val="24"/>
          <w:szCs w:val="24"/>
          <w:lang w:eastAsia="et-EE"/>
        </w:rPr>
        <w:t>. Seda lahendust piloteeritakse a</w:t>
      </w:r>
      <w:r w:rsidR="002B6776" w:rsidRPr="002B6776">
        <w:rPr>
          <w:rFonts w:ascii="Times New Roman" w:hAnsi="Times New Roman"/>
          <w:sz w:val="24"/>
          <w:szCs w:val="24"/>
          <w:lang w:eastAsia="et-EE"/>
        </w:rPr>
        <w:t xml:space="preserve">lates 2025. aastast läbi RVK majutuskeskuse, </w:t>
      </w:r>
      <w:r w:rsidR="002D0A04">
        <w:rPr>
          <w:rFonts w:ascii="Times New Roman" w:hAnsi="Times New Roman"/>
          <w:sz w:val="24"/>
          <w:szCs w:val="24"/>
          <w:lang w:eastAsia="et-EE"/>
        </w:rPr>
        <w:t>kus on</w:t>
      </w:r>
      <w:r w:rsidR="002B6776" w:rsidRPr="002B6776">
        <w:rPr>
          <w:rFonts w:ascii="Times New Roman" w:hAnsi="Times New Roman"/>
          <w:sz w:val="24"/>
          <w:szCs w:val="24"/>
          <w:lang w:eastAsia="et-EE"/>
        </w:rPr>
        <w:t xml:space="preserve"> keskmisest rohkem haavatavas olukorras</w:t>
      </w:r>
      <w:r w:rsidR="002D0A04">
        <w:rPr>
          <w:rFonts w:ascii="Times New Roman" w:hAnsi="Times New Roman"/>
          <w:sz w:val="24"/>
          <w:szCs w:val="24"/>
          <w:lang w:eastAsia="et-EE"/>
        </w:rPr>
        <w:t xml:space="preserve"> RVK taotlejad ja saajad</w:t>
      </w:r>
      <w:r w:rsidR="002B6776" w:rsidRPr="002B6776">
        <w:rPr>
          <w:rFonts w:ascii="Times New Roman" w:hAnsi="Times New Roman"/>
          <w:sz w:val="24"/>
          <w:szCs w:val="24"/>
          <w:lang w:eastAsia="et-EE"/>
        </w:rPr>
        <w:t xml:space="preserve">. </w:t>
      </w:r>
      <w:r w:rsidR="002D0A04">
        <w:rPr>
          <w:rFonts w:ascii="Times New Roman" w:hAnsi="Times New Roman"/>
          <w:sz w:val="24"/>
          <w:szCs w:val="24"/>
          <w:lang w:eastAsia="et-EE"/>
        </w:rPr>
        <w:t xml:space="preserve">Sellest lähtuvalt on partnerina kaasatud </w:t>
      </w:r>
      <w:r w:rsidR="00687240">
        <w:rPr>
          <w:rFonts w:ascii="Times New Roman" w:hAnsi="Times New Roman"/>
          <w:sz w:val="24"/>
          <w:szCs w:val="24"/>
          <w:lang w:eastAsia="et-EE"/>
        </w:rPr>
        <w:t xml:space="preserve">AS </w:t>
      </w:r>
      <w:r w:rsidR="002D0A04">
        <w:rPr>
          <w:rFonts w:ascii="Times New Roman" w:hAnsi="Times New Roman"/>
          <w:sz w:val="24"/>
          <w:szCs w:val="24"/>
          <w:lang w:eastAsia="et-EE"/>
        </w:rPr>
        <w:t>Hoolekandeteenused ning kellele</w:t>
      </w:r>
      <w:r w:rsidR="002B6776" w:rsidRPr="002B6776">
        <w:rPr>
          <w:rFonts w:ascii="Times New Roman" w:hAnsi="Times New Roman"/>
          <w:sz w:val="24"/>
          <w:szCs w:val="24"/>
          <w:lang w:eastAsia="et-EE"/>
        </w:rPr>
        <w:t xml:space="preserve"> on ette nähtud projektijuhi</w:t>
      </w:r>
      <w:r w:rsidR="00D01B6E">
        <w:rPr>
          <w:rFonts w:ascii="Times New Roman" w:hAnsi="Times New Roman"/>
          <w:sz w:val="24"/>
          <w:szCs w:val="24"/>
          <w:lang w:eastAsia="et-EE"/>
        </w:rPr>
        <w:t>, koordinaatori</w:t>
      </w:r>
      <w:r w:rsidR="002B6776" w:rsidRPr="002B6776">
        <w:rPr>
          <w:rFonts w:ascii="Times New Roman" w:hAnsi="Times New Roman"/>
          <w:sz w:val="24"/>
          <w:szCs w:val="24"/>
          <w:lang w:eastAsia="et-EE"/>
        </w:rPr>
        <w:t xml:space="preserve"> ja/või tugiisiku töökohtade töötasu katmine. </w:t>
      </w:r>
    </w:p>
    <w:bookmarkEnd w:id="4"/>
    <w:p w14:paraId="2FBCBCF7" w14:textId="77777777" w:rsidR="002B6776" w:rsidRPr="002B6776" w:rsidRDefault="002B6776" w:rsidP="00FE690B">
      <w:pPr>
        <w:spacing w:after="0" w:line="240" w:lineRule="auto"/>
        <w:ind w:left="1776"/>
        <w:contextualSpacing/>
        <w:jc w:val="both"/>
        <w:rPr>
          <w:lang w:eastAsia="et-EE"/>
        </w:rPr>
      </w:pPr>
    </w:p>
    <w:bookmarkEnd w:id="6"/>
    <w:p w14:paraId="76AA0ED1" w14:textId="77777777" w:rsidR="002B6776" w:rsidRPr="002B6776" w:rsidRDefault="002B6776" w:rsidP="002B6776">
      <w:pPr>
        <w:spacing w:after="0" w:line="240" w:lineRule="auto"/>
        <w:ind w:left="708"/>
        <w:jc w:val="both"/>
        <w:rPr>
          <w:rFonts w:ascii="Times New Roman" w:eastAsiaTheme="minorHAnsi" w:hAnsi="Times New Roman"/>
          <w:sz w:val="24"/>
          <w:szCs w:val="24"/>
          <w:lang w:eastAsia="et-EE"/>
        </w:rPr>
      </w:pPr>
    </w:p>
    <w:p w14:paraId="750765E1" w14:textId="77777777" w:rsidR="002B6776" w:rsidRPr="002B6776" w:rsidRDefault="002B6776" w:rsidP="002B6776">
      <w:pPr>
        <w:jc w:val="both"/>
        <w:rPr>
          <w:rFonts w:ascii="Times New Roman" w:eastAsiaTheme="minorHAnsi" w:hAnsi="Times New Roman"/>
          <w:sz w:val="24"/>
          <w:szCs w:val="24"/>
        </w:rPr>
      </w:pPr>
      <w:r w:rsidRPr="002B6776">
        <w:rPr>
          <w:rFonts w:ascii="Times New Roman" w:eastAsiaTheme="minorHAnsi" w:hAnsi="Times New Roman"/>
          <w:sz w:val="24"/>
          <w:szCs w:val="24"/>
        </w:rPr>
        <w:t>2.1.2</w:t>
      </w:r>
      <w:r w:rsidRPr="002B6776">
        <w:rPr>
          <w:rFonts w:ascii="Times New Roman" w:eastAsiaTheme="minorHAnsi" w:hAnsi="Times New Roman"/>
          <w:sz w:val="24"/>
          <w:szCs w:val="24"/>
        </w:rPr>
        <w:tab/>
        <w:t>Projekti tulemus</w:t>
      </w:r>
    </w:p>
    <w:p w14:paraId="37DC4F9E" w14:textId="77777777" w:rsidR="002B6776" w:rsidRPr="002B6776" w:rsidRDefault="002B6776" w:rsidP="002B6776">
      <w:pPr>
        <w:ind w:left="708"/>
        <w:jc w:val="both"/>
        <w:rPr>
          <w:rFonts w:ascii="Times New Roman" w:eastAsiaTheme="minorHAnsi" w:hAnsi="Times New Roman"/>
          <w:sz w:val="24"/>
          <w:szCs w:val="24"/>
        </w:rPr>
      </w:pPr>
      <w:bookmarkStart w:id="8" w:name="_Hlk183175433"/>
      <w:r w:rsidRPr="002B6776">
        <w:rPr>
          <w:rFonts w:ascii="Times New Roman" w:eastAsiaTheme="minorHAnsi" w:hAnsi="Times New Roman"/>
          <w:sz w:val="24"/>
          <w:szCs w:val="24"/>
        </w:rPr>
        <w:t>Projekti tulemusena on üle- eestiliselt rahvusvahelise kaitse saanutele tagatud nende vajadustest lähtuv täiendav tugi, mis toetab nende toimetulekut ja kohanemist uues elukeskkonnas.</w:t>
      </w:r>
    </w:p>
    <w:bookmarkEnd w:id="8"/>
    <w:p w14:paraId="19E72303" w14:textId="77777777" w:rsidR="002B6776" w:rsidRPr="002B6776" w:rsidRDefault="002B6776" w:rsidP="002B6776">
      <w:pPr>
        <w:spacing w:after="0" w:line="240" w:lineRule="auto"/>
        <w:ind w:left="709"/>
        <w:jc w:val="both"/>
        <w:rPr>
          <w:rFonts w:ascii="Times New Roman" w:eastAsiaTheme="minorHAnsi" w:hAnsi="Times New Roman"/>
          <w:sz w:val="24"/>
          <w:szCs w:val="24"/>
        </w:rPr>
      </w:pPr>
    </w:p>
    <w:p w14:paraId="5336EFEC" w14:textId="77777777" w:rsidR="002B6776" w:rsidRPr="002B6776" w:rsidRDefault="002B6776" w:rsidP="002B677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heme="minorHAnsi" w:hAnsi="Times New Roman"/>
          <w:sz w:val="24"/>
          <w:szCs w:val="24"/>
        </w:rPr>
      </w:pPr>
      <w:r w:rsidRPr="002B6776">
        <w:rPr>
          <w:rFonts w:ascii="Times New Roman" w:eastAsiaTheme="minorHAnsi" w:hAnsi="Times New Roman"/>
          <w:sz w:val="24"/>
          <w:szCs w:val="24"/>
        </w:rPr>
        <w:t>2.1.3</w:t>
      </w:r>
      <w:r w:rsidRPr="002B6776">
        <w:rPr>
          <w:rFonts w:ascii="Times New Roman" w:eastAsiaTheme="minorHAnsi" w:hAnsi="Times New Roman"/>
          <w:sz w:val="24"/>
          <w:szCs w:val="24"/>
        </w:rPr>
        <w:tab/>
        <w:t xml:space="preserve"> Projekti sihtrühm</w:t>
      </w:r>
    </w:p>
    <w:p w14:paraId="7D9F15A9" w14:textId="7E281E48" w:rsidR="002B6776" w:rsidRPr="002B6776" w:rsidRDefault="002B6776" w:rsidP="002B6776">
      <w:pPr>
        <w:spacing w:after="0" w:line="240" w:lineRule="auto"/>
        <w:ind w:left="708" w:firstLine="1"/>
        <w:jc w:val="both"/>
        <w:rPr>
          <w:rFonts w:ascii="Times New Roman" w:eastAsiaTheme="minorHAnsi" w:hAnsi="Times New Roman"/>
          <w:sz w:val="24"/>
          <w:szCs w:val="24"/>
        </w:rPr>
      </w:pPr>
      <w:r w:rsidRPr="002B6776">
        <w:rPr>
          <w:rFonts w:ascii="Times New Roman" w:eastAsiaTheme="minorHAnsi" w:hAnsi="Times New Roman"/>
          <w:sz w:val="24"/>
          <w:szCs w:val="24"/>
        </w:rPr>
        <w:t>Projekti sihtrühmad on: 1) RVK saaja (sh ajutise kaitse saaja); 2) RVK saaja kolmanda riigi kodanikust pereliige VRKS ja VMS alusel.</w:t>
      </w:r>
    </w:p>
    <w:p w14:paraId="5B0EE7EF" w14:textId="77777777" w:rsidR="002B6776" w:rsidRPr="002B6776" w:rsidRDefault="002B6776" w:rsidP="002B677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heme="minorHAnsi" w:hAnsi="Times New Roman"/>
          <w:sz w:val="24"/>
          <w:szCs w:val="24"/>
        </w:rPr>
      </w:pPr>
    </w:p>
    <w:p w14:paraId="65E49942" w14:textId="77777777" w:rsidR="002B6776" w:rsidRPr="002B6776" w:rsidRDefault="002B6776" w:rsidP="002B677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heme="minorHAnsi" w:hAnsi="Times New Roman"/>
          <w:sz w:val="24"/>
          <w:szCs w:val="24"/>
        </w:rPr>
      </w:pPr>
      <w:r w:rsidRPr="002B6776">
        <w:rPr>
          <w:rFonts w:ascii="Times New Roman" w:eastAsiaTheme="minorHAnsi" w:hAnsi="Times New Roman"/>
          <w:sz w:val="24"/>
          <w:szCs w:val="24"/>
        </w:rPr>
        <w:t>2.1.3</w:t>
      </w:r>
      <w:r w:rsidRPr="002B6776">
        <w:rPr>
          <w:rFonts w:ascii="Times New Roman" w:eastAsiaTheme="minorHAnsi" w:hAnsi="Times New Roman"/>
          <w:sz w:val="24"/>
          <w:szCs w:val="24"/>
        </w:rPr>
        <w:tab/>
        <w:t>Projekti abikõlblikkuse periood</w:t>
      </w:r>
    </w:p>
    <w:p w14:paraId="0DD8663A" w14:textId="77777777" w:rsidR="002B6776" w:rsidRPr="002B6776" w:rsidRDefault="002B6776" w:rsidP="002B6776">
      <w:pPr>
        <w:spacing w:after="0" w:line="240" w:lineRule="auto"/>
        <w:ind w:left="708" w:firstLine="1"/>
        <w:jc w:val="both"/>
        <w:rPr>
          <w:rFonts w:ascii="Times New Roman" w:eastAsiaTheme="minorHAnsi" w:hAnsi="Times New Roman"/>
          <w:color w:val="000000" w:themeColor="text1"/>
          <w:sz w:val="24"/>
          <w:szCs w:val="24"/>
        </w:rPr>
      </w:pPr>
      <w:bookmarkStart w:id="9" w:name="_Hlk183175620"/>
      <w:r w:rsidRPr="002B6776">
        <w:rPr>
          <w:rFonts w:ascii="Times New Roman" w:eastAsiaTheme="minorHAnsi" w:hAnsi="Times New Roman"/>
          <w:sz w:val="24"/>
          <w:szCs w:val="24"/>
        </w:rPr>
        <w:t xml:space="preserve">Projekti tegevused viiakse ellu perioodil </w:t>
      </w:r>
      <w:r w:rsidRPr="002B6776">
        <w:rPr>
          <w:rFonts w:ascii="Times New Roman" w:eastAsiaTheme="minorHAnsi" w:hAnsi="Times New Roman"/>
          <w:color w:val="000000" w:themeColor="text1"/>
          <w:sz w:val="24"/>
          <w:szCs w:val="24"/>
        </w:rPr>
        <w:t>01.06.2023–30.06.2029.</w:t>
      </w:r>
    </w:p>
    <w:p w14:paraId="41D66C1A" w14:textId="77777777" w:rsidR="002B6776" w:rsidRPr="002B6776" w:rsidRDefault="002B6776" w:rsidP="002B6776">
      <w:pPr>
        <w:spacing w:after="0" w:line="240" w:lineRule="auto"/>
        <w:ind w:firstLine="709"/>
        <w:jc w:val="both"/>
        <w:rPr>
          <w:rFonts w:ascii="Times New Roman" w:eastAsiaTheme="minorHAnsi" w:hAnsi="Times New Roman"/>
          <w:sz w:val="24"/>
          <w:szCs w:val="24"/>
        </w:rPr>
      </w:pPr>
    </w:p>
    <w:p w14:paraId="59FE01A7" w14:textId="77777777" w:rsidR="002B6776" w:rsidRPr="002B6776" w:rsidRDefault="002B6776" w:rsidP="002B677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contextualSpacing/>
        <w:jc w:val="both"/>
        <w:rPr>
          <w:rFonts w:ascii="Times New Roman" w:eastAsiaTheme="minorHAnsi" w:hAnsi="Times New Roman"/>
          <w:sz w:val="24"/>
          <w:szCs w:val="24"/>
        </w:rPr>
      </w:pPr>
      <w:r w:rsidRPr="002B6776">
        <w:rPr>
          <w:rFonts w:ascii="Times New Roman" w:eastAsiaTheme="minorHAnsi" w:hAnsi="Times New Roman"/>
          <w:sz w:val="24"/>
          <w:szCs w:val="24"/>
        </w:rPr>
        <w:t>Projekti elluviija: SKA</w:t>
      </w:r>
    </w:p>
    <w:p w14:paraId="00924634" w14:textId="4368B19F" w:rsidR="002B6776" w:rsidRPr="002B6776" w:rsidRDefault="002B6776" w:rsidP="002B677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contextualSpacing/>
        <w:jc w:val="both"/>
        <w:rPr>
          <w:rFonts w:ascii="Times New Roman" w:eastAsiaTheme="minorHAnsi" w:hAnsi="Times New Roman"/>
          <w:sz w:val="24"/>
          <w:szCs w:val="24"/>
        </w:rPr>
      </w:pPr>
      <w:r w:rsidRPr="002B6776">
        <w:rPr>
          <w:rFonts w:ascii="Times New Roman" w:eastAsiaTheme="minorHAnsi" w:hAnsi="Times New Roman"/>
          <w:sz w:val="24"/>
          <w:szCs w:val="24"/>
        </w:rPr>
        <w:t xml:space="preserve">Projekti partnerid: Tallinna linn, Rakvere linn, Tartu linn, </w:t>
      </w:r>
      <w:r w:rsidRPr="002B6776">
        <w:rPr>
          <w:rFonts w:ascii="Times New Roman" w:hAnsi="Times New Roman"/>
          <w:sz w:val="24"/>
          <w:szCs w:val="24"/>
          <w:lang w:eastAsia="et-EE"/>
        </w:rPr>
        <w:t xml:space="preserve"> Jõhvi vald, AS Hoolekandeteenused</w:t>
      </w:r>
      <w:r w:rsidR="00095020">
        <w:rPr>
          <w:rFonts w:ascii="Times New Roman" w:hAnsi="Times New Roman"/>
          <w:sz w:val="24"/>
          <w:szCs w:val="24"/>
          <w:lang w:eastAsia="et-EE"/>
        </w:rPr>
        <w:t>.</w:t>
      </w:r>
      <w:r w:rsidRPr="002B6776">
        <w:rPr>
          <w:rFonts w:ascii="Times New Roman" w:hAnsi="Times New Roman"/>
          <w:sz w:val="24"/>
          <w:szCs w:val="24"/>
          <w:lang w:eastAsia="et-EE"/>
        </w:rPr>
        <w:t xml:space="preserve"> Kohalikud omavalitsused on tegevustesse kaasatud perioodil 01.11.2023-31.12.2026, AS Hoolekandeteenused on tegevustesse kaasatud perioodil 01.01.2025-30.06.2029</w:t>
      </w:r>
    </w:p>
    <w:bookmarkEnd w:id="9"/>
    <w:p w14:paraId="069BE6E7" w14:textId="77777777" w:rsidR="002B6776" w:rsidRPr="002B6776" w:rsidRDefault="002B6776" w:rsidP="002B677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contextualSpacing/>
        <w:jc w:val="both"/>
        <w:rPr>
          <w:rFonts w:ascii="Times New Roman" w:eastAsiaTheme="minorHAnsi" w:hAnsi="Times New Roman"/>
          <w:sz w:val="24"/>
          <w:szCs w:val="24"/>
        </w:rPr>
      </w:pPr>
    </w:p>
    <w:p w14:paraId="25F5CD44" w14:textId="77777777" w:rsidR="002B6776" w:rsidRPr="002B6776" w:rsidRDefault="002B6776" w:rsidP="002B677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contextualSpacing/>
        <w:jc w:val="both"/>
        <w:rPr>
          <w:rFonts w:ascii="Times New Roman" w:eastAsiaTheme="minorHAnsi" w:hAnsi="Times New Roman"/>
          <w:sz w:val="24"/>
          <w:szCs w:val="24"/>
        </w:rPr>
      </w:pPr>
      <w:r w:rsidRPr="002B6776">
        <w:rPr>
          <w:rFonts w:ascii="Times New Roman" w:eastAsiaTheme="minorHAnsi" w:hAnsi="Times New Roman"/>
          <w:sz w:val="24"/>
          <w:szCs w:val="24"/>
        </w:rPr>
        <w:t xml:space="preserve">Elluviija võib iga partneriga sõlmida kokkuleppe, milles sätestatakse partneri õigused ja kohustused ning vastutus ja aruandluskord projekti elluviimisel. </w:t>
      </w:r>
    </w:p>
    <w:p w14:paraId="61D06228" w14:textId="77777777" w:rsidR="002B6776" w:rsidRPr="002B6776" w:rsidRDefault="002B6776" w:rsidP="002B677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contextualSpacing/>
        <w:jc w:val="both"/>
        <w:rPr>
          <w:rFonts w:ascii="Times New Roman" w:eastAsiaTheme="minorHAnsi" w:hAnsi="Times New Roman"/>
          <w:sz w:val="24"/>
          <w:szCs w:val="24"/>
        </w:rPr>
      </w:pPr>
    </w:p>
    <w:p w14:paraId="125278C8" w14:textId="77777777" w:rsidR="002B6776" w:rsidRPr="002B6776" w:rsidRDefault="002B6776" w:rsidP="002B6776">
      <w:pPr>
        <w:spacing w:after="0" w:line="240" w:lineRule="auto"/>
        <w:ind w:firstLine="709"/>
        <w:jc w:val="both"/>
        <w:rPr>
          <w:rFonts w:ascii="Times New Roman" w:eastAsiaTheme="minorHAnsi" w:hAnsi="Times New Roman"/>
          <w:sz w:val="24"/>
          <w:szCs w:val="24"/>
        </w:rPr>
      </w:pPr>
      <w:r w:rsidRPr="002B6776">
        <w:rPr>
          <w:rFonts w:ascii="Times New Roman" w:eastAsiaTheme="minorHAnsi" w:hAnsi="Times New Roman"/>
          <w:sz w:val="24"/>
          <w:szCs w:val="24"/>
        </w:rPr>
        <w:t>Projekti abikõlblikud kulud:</w:t>
      </w:r>
    </w:p>
    <w:p w14:paraId="00F03D2B" w14:textId="77777777" w:rsidR="002B6776" w:rsidRPr="002B6776" w:rsidRDefault="002B6776" w:rsidP="002B6776">
      <w:pPr>
        <w:numPr>
          <w:ilvl w:val="0"/>
          <w:numId w:val="3"/>
        </w:numPr>
        <w:spacing w:after="0" w:line="240" w:lineRule="auto"/>
        <w:jc w:val="both"/>
        <w:rPr>
          <w:rFonts w:ascii="Times New Roman" w:eastAsiaTheme="minorEastAsia" w:hAnsi="Times New Roman"/>
          <w:kern w:val="24"/>
          <w:sz w:val="24"/>
          <w:szCs w:val="24"/>
          <w:lang w:eastAsia="et-EE"/>
        </w:rPr>
      </w:pPr>
      <w:r w:rsidRPr="002B6776">
        <w:rPr>
          <w:rFonts w:ascii="Times New Roman" w:eastAsiaTheme="minorEastAsia" w:hAnsi="Times New Roman"/>
          <w:kern w:val="24"/>
          <w:sz w:val="24"/>
          <w:szCs w:val="24"/>
          <w:lang w:eastAsia="et-EE"/>
        </w:rPr>
        <w:t>personalikulud (nt projektijuhtimisega seotud tööjõukulu, partneri tööjõukulud jne.);</w:t>
      </w:r>
    </w:p>
    <w:p w14:paraId="1B674A0E" w14:textId="77777777" w:rsidR="002B6776" w:rsidRPr="002B6776" w:rsidRDefault="002B6776" w:rsidP="002B6776">
      <w:pPr>
        <w:numPr>
          <w:ilvl w:val="0"/>
          <w:numId w:val="3"/>
        </w:numPr>
        <w:spacing w:after="0" w:line="240" w:lineRule="auto"/>
        <w:jc w:val="both"/>
        <w:rPr>
          <w:rFonts w:ascii="Times New Roman" w:eastAsiaTheme="minorEastAsia" w:hAnsi="Times New Roman"/>
          <w:kern w:val="24"/>
          <w:sz w:val="24"/>
          <w:szCs w:val="24"/>
          <w:lang w:eastAsia="et-EE"/>
        </w:rPr>
      </w:pPr>
      <w:r w:rsidRPr="002B6776">
        <w:rPr>
          <w:rFonts w:ascii="Times New Roman" w:eastAsiaTheme="minorEastAsia" w:hAnsi="Times New Roman"/>
          <w:kern w:val="24"/>
          <w:sz w:val="24"/>
          <w:szCs w:val="24"/>
          <w:lang w:eastAsia="et-EE"/>
        </w:rPr>
        <w:t>teenuste pakkumiste kulud (koordinaatorid, tugiisikud, hankekorras valmisolekutasu jne);</w:t>
      </w:r>
    </w:p>
    <w:p w14:paraId="6490ADBD" w14:textId="77777777" w:rsidR="002B6776" w:rsidRPr="002B6776" w:rsidRDefault="002B6776" w:rsidP="002B6776">
      <w:pPr>
        <w:numPr>
          <w:ilvl w:val="0"/>
          <w:numId w:val="3"/>
        </w:numPr>
        <w:spacing w:after="0" w:line="240" w:lineRule="auto"/>
        <w:jc w:val="both"/>
        <w:rPr>
          <w:rFonts w:ascii="Times New Roman" w:eastAsiaTheme="minorEastAsia" w:hAnsi="Times New Roman"/>
          <w:kern w:val="24"/>
          <w:sz w:val="24"/>
          <w:szCs w:val="24"/>
          <w:lang w:eastAsia="et-EE"/>
        </w:rPr>
      </w:pPr>
      <w:bookmarkStart w:id="10" w:name="_Hlk120531360"/>
      <w:r w:rsidRPr="002B6776">
        <w:rPr>
          <w:rFonts w:ascii="Times New Roman" w:eastAsiaTheme="minorEastAsia" w:hAnsi="Times New Roman"/>
          <w:kern w:val="24"/>
          <w:sz w:val="24"/>
          <w:szCs w:val="24"/>
          <w:lang w:eastAsia="et-EE"/>
        </w:rPr>
        <w:t xml:space="preserve">lähetustes, seminaridel, konverentsidel, kohtumistel ja koolitustel osalemise kulud (sh päevaraha, transport, majutus, osalustasud, kindlustus). </w:t>
      </w:r>
      <w:bookmarkStart w:id="11" w:name="_Hlk120196384"/>
      <w:r w:rsidRPr="002B6776">
        <w:rPr>
          <w:rFonts w:ascii="Times New Roman" w:eastAsiaTheme="minorEastAsia" w:hAnsi="Times New Roman"/>
          <w:kern w:val="24"/>
          <w:sz w:val="24"/>
          <w:szCs w:val="24"/>
          <w:lang w:eastAsia="et-EE"/>
        </w:rPr>
        <w:t>Kolmandates riikides toimuvatel koolitustel, seminaridel ja konverentsidel osalemine ning neisse õppevisiidi korraldamine tuleb eelnevat kooskõlastada SiMiga.</w:t>
      </w:r>
      <w:bookmarkEnd w:id="11"/>
      <w:r w:rsidRPr="002B6776">
        <w:rPr>
          <w:rFonts w:ascii="Times New Roman" w:eastAsiaTheme="minorEastAsia" w:hAnsi="Times New Roman"/>
          <w:kern w:val="24"/>
          <w:sz w:val="24"/>
          <w:szCs w:val="24"/>
          <w:lang w:eastAsia="et-EE"/>
        </w:rPr>
        <w:t xml:space="preserve"> Vastav põhjendus esitada SiMile e-toetuse keskkonna kaudu vähemalt 45 päeva enne koolituse, seminari või konverentsi toimumist</w:t>
      </w:r>
      <w:bookmarkEnd w:id="10"/>
      <w:r w:rsidRPr="002B6776">
        <w:rPr>
          <w:rFonts w:ascii="Times New Roman" w:eastAsiaTheme="minorEastAsia" w:hAnsi="Times New Roman"/>
          <w:kern w:val="24"/>
          <w:sz w:val="24"/>
          <w:szCs w:val="24"/>
          <w:lang w:eastAsia="et-EE"/>
        </w:rPr>
        <w:t>;</w:t>
      </w:r>
    </w:p>
    <w:p w14:paraId="1D6608E9" w14:textId="77777777" w:rsidR="002B6776" w:rsidRPr="002B6776" w:rsidRDefault="002B6776" w:rsidP="002B6776">
      <w:pPr>
        <w:numPr>
          <w:ilvl w:val="0"/>
          <w:numId w:val="3"/>
        </w:numPr>
        <w:spacing w:after="0" w:line="240" w:lineRule="auto"/>
        <w:jc w:val="both"/>
        <w:rPr>
          <w:rFonts w:ascii="Times New Roman" w:eastAsiaTheme="minorEastAsia" w:hAnsi="Times New Roman"/>
          <w:kern w:val="24"/>
          <w:sz w:val="24"/>
          <w:szCs w:val="24"/>
          <w:lang w:eastAsia="et-EE"/>
        </w:rPr>
      </w:pPr>
      <w:r w:rsidRPr="002B6776">
        <w:rPr>
          <w:rFonts w:ascii="Times New Roman" w:eastAsiaTheme="minorEastAsia" w:hAnsi="Times New Roman"/>
          <w:kern w:val="24"/>
          <w:sz w:val="24"/>
          <w:szCs w:val="24"/>
          <w:lang w:eastAsia="et-EE"/>
        </w:rPr>
        <w:t xml:space="preserve">koolituskulud (sh koolitajate tasud, koolituse korraldamine, materjalide koostamine); </w:t>
      </w:r>
    </w:p>
    <w:p w14:paraId="6E709B53" w14:textId="77777777" w:rsidR="002B6776" w:rsidRPr="002B6776" w:rsidRDefault="002B6776" w:rsidP="002B6776">
      <w:pPr>
        <w:numPr>
          <w:ilvl w:val="0"/>
          <w:numId w:val="3"/>
        </w:numPr>
        <w:spacing w:after="0" w:line="240" w:lineRule="auto"/>
        <w:jc w:val="both"/>
        <w:rPr>
          <w:rFonts w:ascii="Times New Roman" w:eastAsiaTheme="minorEastAsia" w:hAnsi="Times New Roman"/>
          <w:kern w:val="24"/>
          <w:sz w:val="24"/>
          <w:szCs w:val="24"/>
          <w:lang w:eastAsia="et-EE"/>
        </w:rPr>
      </w:pPr>
      <w:r w:rsidRPr="002B6776">
        <w:rPr>
          <w:rFonts w:ascii="Times New Roman" w:eastAsiaTheme="minorEastAsia" w:hAnsi="Times New Roman"/>
          <w:kern w:val="24"/>
          <w:sz w:val="24"/>
          <w:szCs w:val="24"/>
          <w:lang w:eastAsia="et-EE"/>
        </w:rPr>
        <w:t>pakutavatele teenustele, kommunikatsioonitegevustele ja teavitamisele, koolitustele ja koolitusmaterjalidele ligipääsetavuse tagamise kulud.</w:t>
      </w:r>
    </w:p>
    <w:p w14:paraId="7103A055" w14:textId="77777777" w:rsidR="002B6776" w:rsidRPr="002B6776" w:rsidRDefault="002B6776" w:rsidP="002B6776">
      <w:pPr>
        <w:numPr>
          <w:ilvl w:val="0"/>
          <w:numId w:val="3"/>
        </w:numPr>
        <w:spacing w:after="0" w:line="240" w:lineRule="auto"/>
        <w:jc w:val="both"/>
        <w:rPr>
          <w:rFonts w:ascii="Times New Roman" w:eastAsiaTheme="minorEastAsia" w:hAnsi="Times New Roman"/>
          <w:kern w:val="24"/>
          <w:sz w:val="24"/>
          <w:szCs w:val="24"/>
          <w:lang w:eastAsia="et-EE"/>
        </w:rPr>
      </w:pPr>
      <w:r w:rsidRPr="002B6776">
        <w:rPr>
          <w:rFonts w:ascii="Times New Roman" w:eastAsiaTheme="minorEastAsia" w:hAnsi="Times New Roman"/>
          <w:kern w:val="24"/>
          <w:sz w:val="24"/>
          <w:szCs w:val="24"/>
          <w:lang w:eastAsia="et-EE"/>
        </w:rPr>
        <w:t>seadmete soetamine/rent (nt IKT vahendid);</w:t>
      </w:r>
    </w:p>
    <w:p w14:paraId="332ACD59" w14:textId="77777777" w:rsidR="002B6776" w:rsidRPr="002B6776" w:rsidRDefault="002B6776" w:rsidP="002B6776">
      <w:pPr>
        <w:numPr>
          <w:ilvl w:val="0"/>
          <w:numId w:val="3"/>
        </w:numPr>
        <w:spacing w:after="0" w:line="240" w:lineRule="auto"/>
        <w:jc w:val="both"/>
        <w:rPr>
          <w:rFonts w:ascii="Times New Roman" w:eastAsiaTheme="minorEastAsia" w:hAnsi="Times New Roman"/>
          <w:kern w:val="24"/>
          <w:sz w:val="24"/>
          <w:szCs w:val="24"/>
          <w:lang w:eastAsia="et-EE"/>
        </w:rPr>
      </w:pPr>
      <w:r w:rsidRPr="002B6776">
        <w:rPr>
          <w:rFonts w:ascii="Times New Roman" w:eastAsiaTheme="minorEastAsia" w:hAnsi="Times New Roman"/>
          <w:kern w:val="24"/>
          <w:sz w:val="24"/>
          <w:szCs w:val="24"/>
          <w:lang w:eastAsia="et-EE"/>
        </w:rPr>
        <w:lastRenderedPageBreak/>
        <w:t>kommunikatsioonitegevuste ja teavitamise kulu;</w:t>
      </w:r>
    </w:p>
    <w:p w14:paraId="0C149B8A" w14:textId="77777777" w:rsidR="002B6776" w:rsidRPr="002B6776" w:rsidRDefault="002B6776" w:rsidP="002B6776">
      <w:pPr>
        <w:numPr>
          <w:ilvl w:val="0"/>
          <w:numId w:val="3"/>
        </w:numPr>
        <w:spacing w:after="0" w:line="240" w:lineRule="auto"/>
        <w:jc w:val="both"/>
        <w:rPr>
          <w:rFonts w:ascii="Times New Roman" w:eastAsiaTheme="minorEastAsia" w:hAnsi="Times New Roman"/>
          <w:kern w:val="24"/>
          <w:sz w:val="24"/>
          <w:szCs w:val="24"/>
          <w:lang w:eastAsia="et-EE"/>
        </w:rPr>
      </w:pPr>
      <w:r w:rsidRPr="002B6776">
        <w:rPr>
          <w:rFonts w:ascii="Times New Roman" w:eastAsiaTheme="minorEastAsia" w:hAnsi="Times New Roman"/>
          <w:kern w:val="24"/>
          <w:sz w:val="24"/>
          <w:szCs w:val="24"/>
          <w:lang w:eastAsia="et-EE"/>
        </w:rPr>
        <w:t>erisoodustusena käsitatav kulu ja sellelt makstavad maksud.</w:t>
      </w:r>
    </w:p>
    <w:p w14:paraId="65E0741B" w14:textId="40EF66AC" w:rsidR="00A42620" w:rsidRPr="002B6776" w:rsidRDefault="00A42620" w:rsidP="002B6776"/>
    <w:sectPr w:rsidR="00A42620" w:rsidRPr="002B677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DF0C56" w14:textId="77777777" w:rsidR="002B6776" w:rsidRDefault="002B6776" w:rsidP="002B6776">
      <w:pPr>
        <w:spacing w:after="0" w:line="240" w:lineRule="auto"/>
      </w:pPr>
      <w:r>
        <w:separator/>
      </w:r>
    </w:p>
  </w:endnote>
  <w:endnote w:type="continuationSeparator" w:id="0">
    <w:p w14:paraId="263B5681" w14:textId="77777777" w:rsidR="002B6776" w:rsidRDefault="002B6776" w:rsidP="002B67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Open Sans">
    <w:altName w:val="Open Sans"/>
    <w:charset w:val="00"/>
    <w:family w:val="swiss"/>
    <w:pitch w:val="variable"/>
    <w:sig w:usb0="E00002EF" w:usb1="4000205B" w:usb2="00000028" w:usb3="00000000" w:csb0="000001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62E45C" w14:textId="77777777" w:rsidR="002B6776" w:rsidRDefault="002B6776" w:rsidP="002B6776">
      <w:pPr>
        <w:spacing w:after="0" w:line="240" w:lineRule="auto"/>
      </w:pPr>
      <w:r>
        <w:separator/>
      </w:r>
    </w:p>
  </w:footnote>
  <w:footnote w:type="continuationSeparator" w:id="0">
    <w:p w14:paraId="398B41D8" w14:textId="77777777" w:rsidR="002B6776" w:rsidRDefault="002B6776" w:rsidP="002B6776">
      <w:pPr>
        <w:spacing w:after="0" w:line="240" w:lineRule="auto"/>
      </w:pPr>
      <w:r>
        <w:continuationSeparator/>
      </w:r>
    </w:p>
  </w:footnote>
  <w:footnote w:id="1">
    <w:p w14:paraId="67ED51C4" w14:textId="77777777" w:rsidR="002B6776" w:rsidRPr="004E079C" w:rsidRDefault="002B6776" w:rsidP="002B6776">
      <w:pPr>
        <w:pStyle w:val="Allmrkusetekst"/>
        <w:rPr>
          <w:lang w:val="et-EE"/>
        </w:rPr>
      </w:pPr>
      <w:r>
        <w:rPr>
          <w:rStyle w:val="Allmrkuseviide"/>
        </w:rPr>
        <w:footnoteRef/>
      </w:r>
      <w:r>
        <w:t xml:space="preserve"> </w:t>
      </w:r>
      <w:r>
        <w:rPr>
          <w:lang w:val="et-EE"/>
        </w:rPr>
        <w:t>Välismaalaste seadus</w:t>
      </w:r>
    </w:p>
  </w:footnote>
  <w:footnote w:id="2">
    <w:p w14:paraId="1666B16F" w14:textId="77777777" w:rsidR="002B6776" w:rsidRPr="000714AE" w:rsidRDefault="002B6776" w:rsidP="002B6776">
      <w:pPr>
        <w:pStyle w:val="Allmrkusetekst"/>
        <w:jc w:val="both"/>
        <w:rPr>
          <w:lang w:val="et-EE"/>
        </w:rPr>
      </w:pPr>
      <w:r w:rsidRPr="000714AE">
        <w:rPr>
          <w:rStyle w:val="Allmrkuseviide"/>
          <w:lang w:val="et-EE"/>
        </w:rPr>
        <w:footnoteRef/>
      </w:r>
      <w:r w:rsidRPr="000714AE">
        <w:rPr>
          <w:lang w:val="et-EE"/>
        </w:rPr>
        <w:t xml:space="preserve"> Euroopa Parlamendi ja nõukogu 14. juuni 2021. aasta määrus (EL) 2021/1060, millega kehtestatakse ühissätted Euroopa Regionaalarengu Fondi, Euroopa Sotsiaalfond+, Ühtekuuluvusfondi, Õiglase Ülemineku Fondi ja Euroopa Merendus-, Kalandus- ja Vesiviljelusfondi kohta ning nende ja Varjupaiga-, Rände- ja Integratsioonifondi, Sisejulgeolekufondi ning piirihalduse ja viisapoliitika rahastu suhtes kohaldatavad finantsreeglid.</w:t>
      </w:r>
    </w:p>
  </w:footnote>
  <w:footnote w:id="3">
    <w:p w14:paraId="7CB1B202" w14:textId="77777777" w:rsidR="002B6776" w:rsidRPr="005013FD" w:rsidRDefault="002B6776" w:rsidP="002B6776">
      <w:pPr>
        <w:pStyle w:val="Allmrkusetekst"/>
        <w:jc w:val="both"/>
        <w:rPr>
          <w:lang w:val="et-EE"/>
        </w:rPr>
      </w:pPr>
      <w:r>
        <w:rPr>
          <w:rStyle w:val="Allmrkuseviide"/>
        </w:rPr>
        <w:footnoteRef/>
      </w:r>
      <w:r w:rsidRPr="00476B50">
        <w:rPr>
          <w:lang w:val="et-EE"/>
        </w:rPr>
        <w:t xml:space="preserve"> </w:t>
      </w:r>
      <w:r w:rsidRPr="005013FD">
        <w:rPr>
          <w:lang w:val="et-EE"/>
        </w:rPr>
        <w:t>Euroopa Parlamendi ja nõukogu määrus (EL) 2020/852, millega kehtestatakse kestlike investeeringute hõlbustamise raamistik ja muudetakse määrust (EL) 2019/2088 (ELT L 198, 22.06.2020, lk 13–43) artikli 17 tähenduses</w:t>
      </w:r>
      <w:r>
        <w:rPr>
          <w:lang w:val="et-EE"/>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D3BF1"/>
    <w:multiLevelType w:val="hybridMultilevel"/>
    <w:tmpl w:val="A86A9C5E"/>
    <w:lvl w:ilvl="0" w:tplc="4DD8BB8C">
      <w:numFmt w:val="bullet"/>
      <w:lvlText w:val="-"/>
      <w:lvlJc w:val="left"/>
      <w:pPr>
        <w:ind w:left="1068" w:hanging="360"/>
      </w:pPr>
      <w:rPr>
        <w:rFonts w:ascii="Times New Roman" w:eastAsiaTheme="minorEastAsia" w:hAnsi="Times New Roman" w:cs="Times New Roman" w:hint="default"/>
        <w:b/>
      </w:rPr>
    </w:lvl>
    <w:lvl w:ilvl="1" w:tplc="04250003">
      <w:start w:val="1"/>
      <w:numFmt w:val="bullet"/>
      <w:lvlText w:val="o"/>
      <w:lvlJc w:val="left"/>
      <w:pPr>
        <w:ind w:left="1788" w:hanging="360"/>
      </w:pPr>
      <w:rPr>
        <w:rFonts w:ascii="Courier New" w:hAnsi="Courier New" w:cs="Courier New" w:hint="default"/>
      </w:rPr>
    </w:lvl>
    <w:lvl w:ilvl="2" w:tplc="557269D8">
      <w:start w:val="6"/>
      <w:numFmt w:val="bullet"/>
      <w:lvlText w:val="-"/>
      <w:lvlJc w:val="left"/>
      <w:pPr>
        <w:ind w:left="1069" w:hanging="360"/>
      </w:pPr>
      <w:rPr>
        <w:rFonts w:ascii="Times New Roman" w:eastAsiaTheme="minorHAnsi" w:hAnsi="Times New Roman" w:cs="Times New Roman" w:hint="default"/>
      </w:rPr>
    </w:lvl>
    <w:lvl w:ilvl="3" w:tplc="04250001" w:tentative="1">
      <w:start w:val="1"/>
      <w:numFmt w:val="bullet"/>
      <w:lvlText w:val=""/>
      <w:lvlJc w:val="left"/>
      <w:pPr>
        <w:ind w:left="3228" w:hanging="360"/>
      </w:pPr>
      <w:rPr>
        <w:rFonts w:ascii="Symbol" w:hAnsi="Symbol" w:hint="default"/>
      </w:rPr>
    </w:lvl>
    <w:lvl w:ilvl="4" w:tplc="04250003" w:tentative="1">
      <w:start w:val="1"/>
      <w:numFmt w:val="bullet"/>
      <w:lvlText w:val="o"/>
      <w:lvlJc w:val="left"/>
      <w:pPr>
        <w:ind w:left="3948" w:hanging="360"/>
      </w:pPr>
      <w:rPr>
        <w:rFonts w:ascii="Courier New" w:hAnsi="Courier New" w:cs="Courier New" w:hint="default"/>
      </w:rPr>
    </w:lvl>
    <w:lvl w:ilvl="5" w:tplc="04250005" w:tentative="1">
      <w:start w:val="1"/>
      <w:numFmt w:val="bullet"/>
      <w:lvlText w:val=""/>
      <w:lvlJc w:val="left"/>
      <w:pPr>
        <w:ind w:left="4668" w:hanging="360"/>
      </w:pPr>
      <w:rPr>
        <w:rFonts w:ascii="Wingdings" w:hAnsi="Wingdings" w:hint="default"/>
      </w:rPr>
    </w:lvl>
    <w:lvl w:ilvl="6" w:tplc="04250001" w:tentative="1">
      <w:start w:val="1"/>
      <w:numFmt w:val="bullet"/>
      <w:lvlText w:val=""/>
      <w:lvlJc w:val="left"/>
      <w:pPr>
        <w:ind w:left="5388" w:hanging="360"/>
      </w:pPr>
      <w:rPr>
        <w:rFonts w:ascii="Symbol" w:hAnsi="Symbol" w:hint="default"/>
      </w:rPr>
    </w:lvl>
    <w:lvl w:ilvl="7" w:tplc="04250003" w:tentative="1">
      <w:start w:val="1"/>
      <w:numFmt w:val="bullet"/>
      <w:lvlText w:val="o"/>
      <w:lvlJc w:val="left"/>
      <w:pPr>
        <w:ind w:left="6108" w:hanging="360"/>
      </w:pPr>
      <w:rPr>
        <w:rFonts w:ascii="Courier New" w:hAnsi="Courier New" w:cs="Courier New" w:hint="default"/>
      </w:rPr>
    </w:lvl>
    <w:lvl w:ilvl="8" w:tplc="04250005" w:tentative="1">
      <w:start w:val="1"/>
      <w:numFmt w:val="bullet"/>
      <w:lvlText w:val=""/>
      <w:lvlJc w:val="left"/>
      <w:pPr>
        <w:ind w:left="6828" w:hanging="360"/>
      </w:pPr>
      <w:rPr>
        <w:rFonts w:ascii="Wingdings" w:hAnsi="Wingdings" w:hint="default"/>
      </w:rPr>
    </w:lvl>
  </w:abstractNum>
  <w:abstractNum w:abstractNumId="1" w15:restartNumberingAfterBreak="0">
    <w:nsid w:val="0C5140FE"/>
    <w:multiLevelType w:val="hybridMultilevel"/>
    <w:tmpl w:val="C738360A"/>
    <w:lvl w:ilvl="0" w:tplc="F594B416">
      <w:start w:val="16"/>
      <w:numFmt w:val="bullet"/>
      <w:lvlText w:val="-"/>
      <w:lvlJc w:val="left"/>
      <w:pPr>
        <w:ind w:left="720" w:hanging="360"/>
      </w:pPr>
      <w:rPr>
        <w:rFonts w:ascii="Open Sans" w:eastAsia="Times New Roman" w:hAnsi="Open Sans" w:cs="Open San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27B748E8"/>
    <w:multiLevelType w:val="hybridMultilevel"/>
    <w:tmpl w:val="3B9C4A00"/>
    <w:lvl w:ilvl="0" w:tplc="B15CB2A0">
      <w:start w:val="3"/>
      <w:numFmt w:val="decimal"/>
      <w:lvlText w:val="%1)"/>
      <w:lvlJc w:val="left"/>
      <w:pPr>
        <w:ind w:left="12" w:hanging="360"/>
      </w:pPr>
      <w:rPr>
        <w:rFonts w:hint="default"/>
      </w:rPr>
    </w:lvl>
    <w:lvl w:ilvl="1" w:tplc="04250019" w:tentative="1">
      <w:start w:val="1"/>
      <w:numFmt w:val="lowerLetter"/>
      <w:lvlText w:val="%2."/>
      <w:lvlJc w:val="left"/>
      <w:pPr>
        <w:ind w:left="732" w:hanging="360"/>
      </w:pPr>
    </w:lvl>
    <w:lvl w:ilvl="2" w:tplc="0425001B" w:tentative="1">
      <w:start w:val="1"/>
      <w:numFmt w:val="lowerRoman"/>
      <w:lvlText w:val="%3."/>
      <w:lvlJc w:val="right"/>
      <w:pPr>
        <w:ind w:left="1452" w:hanging="180"/>
      </w:pPr>
    </w:lvl>
    <w:lvl w:ilvl="3" w:tplc="0425000F" w:tentative="1">
      <w:start w:val="1"/>
      <w:numFmt w:val="decimal"/>
      <w:lvlText w:val="%4."/>
      <w:lvlJc w:val="left"/>
      <w:pPr>
        <w:ind w:left="2172" w:hanging="360"/>
      </w:pPr>
    </w:lvl>
    <w:lvl w:ilvl="4" w:tplc="04250019" w:tentative="1">
      <w:start w:val="1"/>
      <w:numFmt w:val="lowerLetter"/>
      <w:lvlText w:val="%5."/>
      <w:lvlJc w:val="left"/>
      <w:pPr>
        <w:ind w:left="2892" w:hanging="360"/>
      </w:pPr>
    </w:lvl>
    <w:lvl w:ilvl="5" w:tplc="0425001B" w:tentative="1">
      <w:start w:val="1"/>
      <w:numFmt w:val="lowerRoman"/>
      <w:lvlText w:val="%6."/>
      <w:lvlJc w:val="right"/>
      <w:pPr>
        <w:ind w:left="3612" w:hanging="180"/>
      </w:pPr>
    </w:lvl>
    <w:lvl w:ilvl="6" w:tplc="0425000F" w:tentative="1">
      <w:start w:val="1"/>
      <w:numFmt w:val="decimal"/>
      <w:lvlText w:val="%7."/>
      <w:lvlJc w:val="left"/>
      <w:pPr>
        <w:ind w:left="4332" w:hanging="360"/>
      </w:pPr>
    </w:lvl>
    <w:lvl w:ilvl="7" w:tplc="04250019" w:tentative="1">
      <w:start w:val="1"/>
      <w:numFmt w:val="lowerLetter"/>
      <w:lvlText w:val="%8."/>
      <w:lvlJc w:val="left"/>
      <w:pPr>
        <w:ind w:left="5052" w:hanging="360"/>
      </w:pPr>
    </w:lvl>
    <w:lvl w:ilvl="8" w:tplc="0425001B" w:tentative="1">
      <w:start w:val="1"/>
      <w:numFmt w:val="lowerRoman"/>
      <w:lvlText w:val="%9."/>
      <w:lvlJc w:val="right"/>
      <w:pPr>
        <w:ind w:left="5772" w:hanging="180"/>
      </w:pPr>
    </w:lvl>
  </w:abstractNum>
  <w:abstractNum w:abstractNumId="3" w15:restartNumberingAfterBreak="0">
    <w:nsid w:val="4C510443"/>
    <w:multiLevelType w:val="hybridMultilevel"/>
    <w:tmpl w:val="16BCB328"/>
    <w:lvl w:ilvl="0" w:tplc="557269D8">
      <w:start w:val="6"/>
      <w:numFmt w:val="bullet"/>
      <w:lvlText w:val="-"/>
      <w:lvlJc w:val="left"/>
      <w:pPr>
        <w:ind w:left="720" w:hanging="360"/>
      </w:pPr>
      <w:rPr>
        <w:rFonts w:ascii="Times New Roman" w:eastAsiaTheme="minorHAns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53CB6BAC"/>
    <w:multiLevelType w:val="multilevel"/>
    <w:tmpl w:val="3C645894"/>
    <w:lvl w:ilvl="0">
      <w:start w:val="2"/>
      <w:numFmt w:val="decimal"/>
      <w:lvlText w:val="%1."/>
      <w:lvlJc w:val="left"/>
      <w:pPr>
        <w:ind w:left="360" w:hanging="360"/>
      </w:pPr>
      <w:rPr>
        <w:rFonts w:hint="default"/>
        <w:b/>
        <w:bCs/>
        <w:i w:val="0"/>
        <w:iCs/>
      </w:rPr>
    </w:lvl>
    <w:lvl w:ilvl="1">
      <w:start w:val="1"/>
      <w:numFmt w:val="decimal"/>
      <w:lvlText w:val="%1.%2."/>
      <w:lvlJc w:val="left"/>
      <w:pPr>
        <w:ind w:left="716" w:hanging="432"/>
      </w:pPr>
      <w:rPr>
        <w:rFonts w:hint="default"/>
        <w:b w:val="0"/>
        <w:bCs w:val="0"/>
      </w:rPr>
    </w:lvl>
    <w:lvl w:ilvl="2">
      <w:start w:val="1"/>
      <w:numFmt w:val="decimal"/>
      <w:lvlText w:val="%1.%2.%3."/>
      <w:lvlJc w:val="left"/>
      <w:pPr>
        <w:ind w:left="1781" w:hanging="504"/>
      </w:pPr>
      <w:rPr>
        <w:rFonts w:hint="default"/>
        <w:b w:val="0"/>
        <w:bCs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776"/>
    <w:rsid w:val="00095020"/>
    <w:rsid w:val="00113E61"/>
    <w:rsid w:val="001F7DC8"/>
    <w:rsid w:val="002B6776"/>
    <w:rsid w:val="002D0A04"/>
    <w:rsid w:val="0034341B"/>
    <w:rsid w:val="003C4182"/>
    <w:rsid w:val="00500112"/>
    <w:rsid w:val="0051695B"/>
    <w:rsid w:val="00574E1A"/>
    <w:rsid w:val="005A6AFB"/>
    <w:rsid w:val="00687240"/>
    <w:rsid w:val="00755158"/>
    <w:rsid w:val="00841D74"/>
    <w:rsid w:val="008C028B"/>
    <w:rsid w:val="008D1AF1"/>
    <w:rsid w:val="00A42620"/>
    <w:rsid w:val="00AA3145"/>
    <w:rsid w:val="00B8132F"/>
    <w:rsid w:val="00BD56F3"/>
    <w:rsid w:val="00C2013C"/>
    <w:rsid w:val="00D01B6E"/>
    <w:rsid w:val="00D37395"/>
    <w:rsid w:val="00D64B40"/>
    <w:rsid w:val="00DF3E07"/>
    <w:rsid w:val="00E76699"/>
    <w:rsid w:val="00EA0CAA"/>
    <w:rsid w:val="00F54FE6"/>
    <w:rsid w:val="00FE690B"/>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82EF6"/>
  <w15:chartTrackingRefBased/>
  <w15:docId w15:val="{49A48DB6-10E7-4ABB-81B6-62B52EE7F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34341B"/>
    <w:pPr>
      <w:spacing w:after="200" w:line="276" w:lineRule="auto"/>
    </w:pPr>
    <w:rPr>
      <w:rFonts w:ascii="Verdana" w:hAnsi="Verdana"/>
      <w:sz w:val="22"/>
      <w:szCs w:val="22"/>
      <w:lang w:eastAsia="en-US"/>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Kommentaariviide">
    <w:name w:val="annotation reference"/>
    <w:basedOn w:val="Liguvaikefont"/>
    <w:uiPriority w:val="99"/>
    <w:unhideWhenUsed/>
    <w:rsid w:val="002B6776"/>
    <w:rPr>
      <w:sz w:val="16"/>
      <w:szCs w:val="16"/>
    </w:rPr>
  </w:style>
  <w:style w:type="paragraph" w:styleId="Kommentaaritekst">
    <w:name w:val="annotation text"/>
    <w:basedOn w:val="Normaallaad"/>
    <w:link w:val="KommentaaritekstMrk"/>
    <w:uiPriority w:val="99"/>
    <w:unhideWhenUsed/>
    <w:rsid w:val="002B6776"/>
    <w:pPr>
      <w:spacing w:line="240" w:lineRule="auto"/>
    </w:pPr>
    <w:rPr>
      <w:rFonts w:asciiTheme="minorHAnsi" w:eastAsiaTheme="minorHAnsi" w:hAnsiTheme="minorHAnsi" w:cstheme="minorBidi"/>
      <w:sz w:val="20"/>
      <w:szCs w:val="20"/>
    </w:rPr>
  </w:style>
  <w:style w:type="character" w:customStyle="1" w:styleId="KommentaaritekstMrk">
    <w:name w:val="Kommentaari tekst Märk"/>
    <w:basedOn w:val="Liguvaikefont"/>
    <w:link w:val="Kommentaaritekst"/>
    <w:uiPriority w:val="99"/>
    <w:rsid w:val="002B6776"/>
    <w:rPr>
      <w:rFonts w:asciiTheme="minorHAnsi" w:eastAsiaTheme="minorHAnsi" w:hAnsiTheme="minorHAnsi" w:cstheme="minorBidi"/>
      <w:lang w:eastAsia="en-US"/>
    </w:rPr>
  </w:style>
  <w:style w:type="paragraph" w:styleId="Allmrkusetekst">
    <w:name w:val="footnote text"/>
    <w:aliases w:val="Footnote Text Char Char Char Char,Footnote Text Char Char,Footnote Text Char Char Char Char Char,Footnote Text Char Char Char Char Char Char Char Char,Footnote Text Char Char Char,Footnote Text Char1,Footnote Text Char Char1,Märk,o"/>
    <w:basedOn w:val="Normaallaad"/>
    <w:link w:val="AllmrkusetekstMrk"/>
    <w:unhideWhenUsed/>
    <w:qFormat/>
    <w:rsid w:val="002B6776"/>
    <w:pPr>
      <w:spacing w:after="0" w:line="240" w:lineRule="auto"/>
    </w:pPr>
    <w:rPr>
      <w:rFonts w:ascii="Times New Roman" w:eastAsia="Times New Roman" w:hAnsi="Times New Roman"/>
      <w:sz w:val="20"/>
      <w:szCs w:val="20"/>
      <w:lang w:val="en-GB"/>
    </w:rPr>
  </w:style>
  <w:style w:type="character" w:customStyle="1" w:styleId="AllmrkusetekstMrk">
    <w:name w:val="Allmärkuse tekst Märk"/>
    <w:aliases w:val="Footnote Text Char Char Char Char Märk,Footnote Text Char Char Märk,Footnote Text Char Char Char Char Char Märk,Footnote Text Char Char Char Char Char Char Char Char Märk,Footnote Text Char Char Char Märk,Footnote Text Char1 Märk"/>
    <w:basedOn w:val="Liguvaikefont"/>
    <w:link w:val="Allmrkusetekst"/>
    <w:rsid w:val="002B6776"/>
    <w:rPr>
      <w:rFonts w:ascii="Times New Roman" w:eastAsia="Times New Roman" w:hAnsi="Times New Roman"/>
      <w:lang w:val="en-GB" w:eastAsia="en-US"/>
    </w:rPr>
  </w:style>
  <w:style w:type="character" w:styleId="Allmrkuseviide">
    <w:name w:val="footnote reference"/>
    <w:aliases w:val="Footnote symbol,Ref,de nota al pie,-E Fußnotenzeichen,fr,ftref,Footnotes refss,Fussnota,Footnote reference number,Times 10 Point,Exposant 3 Point,EN Footnote Reference,note TESI,Footnote Reference Superscript,Zchn Zchn,Footnote numb"/>
    <w:basedOn w:val="Liguvaikefont"/>
    <w:link w:val="FootnoteReferneceChar"/>
    <w:unhideWhenUsed/>
    <w:qFormat/>
    <w:rsid w:val="002B6776"/>
    <w:rPr>
      <w:vertAlign w:val="superscript"/>
    </w:rPr>
  </w:style>
  <w:style w:type="paragraph" w:customStyle="1" w:styleId="FootnoteReferneceChar">
    <w:name w:val="Footnote Refernece Char"/>
    <w:aliases w:val="BVI fnr Char Char Char Char Char Char Char Char Char,BVI fnr Car Car Char Char Char Char Char Char Char Char Char,BVI fnr Car Char Char Char Char Char Char Char Char Char Char,Footnote Refernece Char Char Char Char"/>
    <w:basedOn w:val="Normaallaad"/>
    <w:link w:val="Allmrkuseviide"/>
    <w:rsid w:val="002B6776"/>
    <w:pPr>
      <w:spacing w:before="240" w:after="160" w:line="240" w:lineRule="exact"/>
    </w:pPr>
    <w:rPr>
      <w:rFonts w:ascii="Calibri" w:hAnsi="Calibri"/>
      <w:sz w:val="20"/>
      <w:szCs w:val="20"/>
      <w:vertAlign w:val="superscript"/>
      <w:lang w:eastAsia="et-EE"/>
    </w:rPr>
  </w:style>
  <w:style w:type="paragraph" w:styleId="Redaktsioon">
    <w:name w:val="Revision"/>
    <w:hidden/>
    <w:uiPriority w:val="99"/>
    <w:semiHidden/>
    <w:rsid w:val="00687240"/>
    <w:rPr>
      <w:rFonts w:ascii="Verdana" w:hAnsi="Verdana"/>
      <w:sz w:val="22"/>
      <w:szCs w:val="22"/>
      <w:lang w:eastAsia="en-US"/>
    </w:rPr>
  </w:style>
  <w:style w:type="paragraph" w:styleId="Kommentaariteema">
    <w:name w:val="annotation subject"/>
    <w:basedOn w:val="Kommentaaritekst"/>
    <w:next w:val="Kommentaaritekst"/>
    <w:link w:val="KommentaariteemaMrk"/>
    <w:uiPriority w:val="99"/>
    <w:semiHidden/>
    <w:unhideWhenUsed/>
    <w:rsid w:val="00AA3145"/>
    <w:rPr>
      <w:rFonts w:ascii="Verdana" w:eastAsia="Calibri" w:hAnsi="Verdana" w:cs="Times New Roman"/>
      <w:b/>
      <w:bCs/>
    </w:rPr>
  </w:style>
  <w:style w:type="character" w:customStyle="1" w:styleId="KommentaariteemaMrk">
    <w:name w:val="Kommentaari teema Märk"/>
    <w:basedOn w:val="KommentaaritekstMrk"/>
    <w:link w:val="Kommentaariteema"/>
    <w:uiPriority w:val="99"/>
    <w:semiHidden/>
    <w:rsid w:val="00AA3145"/>
    <w:rPr>
      <w:rFonts w:ascii="Verdana" w:eastAsiaTheme="minorHAnsi" w:hAnsi="Verdana" w:cstheme="minorBidi"/>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4</Pages>
  <Words>1128</Words>
  <Characters>6547</Characters>
  <Application>Microsoft Office Word</Application>
  <DocSecurity>0</DocSecurity>
  <Lines>54</Lines>
  <Paragraphs>15</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TEHIK</Company>
  <LinksUpToDate>false</LinksUpToDate>
  <CharactersWithSpaces>7660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Margit Machrafi</dc:creator>
  <cp:keywords/>
  <dc:description/>
  <cp:lastModifiedBy>Margit Machrafi</cp:lastModifiedBy>
  <cp:revision>4</cp:revision>
  <dcterms:created xsi:type="dcterms:W3CDTF">2025-01-17T06:34:00Z</dcterms:created>
  <dcterms:modified xsi:type="dcterms:W3CDTF">2025-01-17T06:56:00Z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